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B300A">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小标宋简体" w:hAnsi="方正小标宋简体" w:eastAsia="方正小标宋简体" w:cs="方正小标宋简体"/>
          <w:sz w:val="32"/>
          <w:szCs w:val="32"/>
          <w:lang w:val="en-US" w:eastAsia="zh-CN"/>
        </w:rPr>
      </w:pPr>
      <w:r>
        <w:rPr>
          <w:rFonts w:hint="eastAsia" w:ascii="黑体" w:hAnsi="黑体" w:eastAsia="黑体" w:cs="黑体"/>
          <w:sz w:val="32"/>
          <w:szCs w:val="32"/>
          <w:lang w:val="en-US" w:eastAsia="zh-CN"/>
        </w:rPr>
        <w:t>附件4</w:t>
      </w:r>
    </w:p>
    <w:p w14:paraId="14967EAB">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sz w:val="42"/>
          <w:szCs w:val="42"/>
          <w:lang w:val="en-US" w:eastAsia="zh-CN"/>
        </w:rPr>
      </w:pPr>
      <w:r>
        <w:rPr>
          <w:rFonts w:hint="eastAsia" w:ascii="方正小标宋简体" w:hAnsi="方正小标宋简体" w:eastAsia="方正小标宋简体" w:cs="方正小标宋简体"/>
          <w:sz w:val="42"/>
          <w:szCs w:val="42"/>
          <w:lang w:val="en-US" w:eastAsia="zh-CN"/>
        </w:rPr>
        <w:t>东莞市总工会饭堂食材配送服务项目</w:t>
      </w:r>
    </w:p>
    <w:p w14:paraId="24072990">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sz w:val="42"/>
          <w:szCs w:val="42"/>
          <w:lang w:val="en-US" w:eastAsia="zh-CN"/>
        </w:rPr>
      </w:pPr>
      <w:r>
        <w:rPr>
          <w:rFonts w:hint="eastAsia" w:ascii="方正小标宋简体" w:hAnsi="方正小标宋简体" w:eastAsia="方正小标宋简体" w:cs="方正小标宋简体"/>
          <w:sz w:val="42"/>
          <w:szCs w:val="42"/>
          <w:lang w:val="en-US" w:eastAsia="zh-CN"/>
        </w:rPr>
        <w:t>下浮率报价表</w:t>
      </w:r>
    </w:p>
    <w:p w14:paraId="7B1D550E">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黑体" w:hAnsi="黑体" w:eastAsia="黑体" w:cs="黑体"/>
          <w:sz w:val="32"/>
          <w:szCs w:val="32"/>
          <w:lang w:val="en-US" w:eastAsia="zh-CN"/>
        </w:rPr>
      </w:pPr>
    </w:p>
    <w:tbl>
      <w:tblPr>
        <w:tblStyle w:val="2"/>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910"/>
        <w:gridCol w:w="2174"/>
        <w:gridCol w:w="4066"/>
        <w:gridCol w:w="1907"/>
      </w:tblGrid>
      <w:tr w14:paraId="43EE3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blHeader/>
          <w:jc w:val="center"/>
        </w:trPr>
        <w:tc>
          <w:tcPr>
            <w:tcW w:w="910" w:type="dxa"/>
            <w:shd w:val="clear" w:color="auto" w:fill="auto"/>
            <w:tcMar>
              <w:top w:w="120" w:type="dxa"/>
              <w:left w:w="120" w:type="dxa"/>
              <w:bottom w:w="120" w:type="dxa"/>
              <w:right w:w="120" w:type="dxa"/>
            </w:tcMar>
            <w:vAlign w:val="center"/>
          </w:tcPr>
          <w:p w14:paraId="3AA47B34">
            <w:pPr>
              <w:jc w:val="center"/>
              <w:rPr>
                <w:rFonts w:hint="eastAsia" w:ascii="黑体" w:hAnsi="黑体" w:eastAsia="黑体" w:cs="黑体"/>
                <w:sz w:val="32"/>
              </w:rPr>
            </w:pPr>
            <w:r>
              <w:rPr>
                <w:rFonts w:hint="eastAsia" w:ascii="黑体" w:hAnsi="黑体" w:eastAsia="黑体" w:cs="黑体"/>
                <w:sz w:val="32"/>
                <w:lang w:val="en-US" w:eastAsia="zh-CN"/>
              </w:rPr>
              <w:t>序号</w:t>
            </w:r>
          </w:p>
        </w:tc>
        <w:tc>
          <w:tcPr>
            <w:tcW w:w="2174" w:type="dxa"/>
            <w:shd w:val="clear" w:color="auto" w:fill="auto"/>
            <w:tcMar>
              <w:top w:w="120" w:type="dxa"/>
              <w:left w:w="120" w:type="dxa"/>
              <w:bottom w:w="120" w:type="dxa"/>
              <w:right w:w="120" w:type="dxa"/>
            </w:tcMar>
            <w:vAlign w:val="center"/>
          </w:tcPr>
          <w:p w14:paraId="1BEAC2EF">
            <w:pPr>
              <w:jc w:val="center"/>
              <w:rPr>
                <w:rFonts w:hint="eastAsia" w:ascii="黑体" w:hAnsi="黑体" w:eastAsia="黑体" w:cs="黑体"/>
                <w:sz w:val="32"/>
              </w:rPr>
            </w:pPr>
            <w:r>
              <w:rPr>
                <w:rFonts w:hint="eastAsia" w:ascii="黑体" w:hAnsi="黑体" w:eastAsia="黑体" w:cs="黑体"/>
                <w:sz w:val="32"/>
                <w:lang w:val="en-US" w:eastAsia="zh-CN"/>
              </w:rPr>
              <w:t>报价项目</w:t>
            </w:r>
          </w:p>
        </w:tc>
        <w:tc>
          <w:tcPr>
            <w:tcW w:w="4066" w:type="dxa"/>
            <w:shd w:val="clear" w:color="auto" w:fill="auto"/>
            <w:tcMar>
              <w:top w:w="120" w:type="dxa"/>
              <w:left w:w="120" w:type="dxa"/>
              <w:bottom w:w="120" w:type="dxa"/>
              <w:right w:w="120" w:type="dxa"/>
            </w:tcMar>
            <w:vAlign w:val="center"/>
          </w:tcPr>
          <w:p w14:paraId="335BBF6F">
            <w:pPr>
              <w:jc w:val="center"/>
              <w:rPr>
                <w:rFonts w:hint="eastAsia" w:ascii="黑体" w:hAnsi="黑体" w:eastAsia="黑体" w:cs="黑体"/>
                <w:sz w:val="32"/>
              </w:rPr>
            </w:pPr>
            <w:r>
              <w:rPr>
                <w:rFonts w:hint="eastAsia" w:ascii="黑体" w:hAnsi="黑体" w:eastAsia="黑体" w:cs="黑体"/>
                <w:sz w:val="32"/>
                <w:lang w:val="en-US" w:eastAsia="zh-CN"/>
              </w:rPr>
              <w:t>报价内容</w:t>
            </w:r>
          </w:p>
        </w:tc>
        <w:tc>
          <w:tcPr>
            <w:tcW w:w="1907" w:type="dxa"/>
            <w:shd w:val="clear" w:color="auto" w:fill="auto"/>
            <w:tcMar>
              <w:top w:w="120" w:type="dxa"/>
              <w:left w:w="120" w:type="dxa"/>
              <w:bottom w:w="120" w:type="dxa"/>
              <w:right w:w="120" w:type="dxa"/>
            </w:tcMar>
            <w:vAlign w:val="center"/>
          </w:tcPr>
          <w:p w14:paraId="602518C4">
            <w:pPr>
              <w:jc w:val="center"/>
              <w:rPr>
                <w:rFonts w:hint="eastAsia" w:ascii="黑体" w:hAnsi="黑体" w:eastAsia="黑体" w:cs="黑体"/>
                <w:sz w:val="32"/>
              </w:rPr>
            </w:pPr>
            <w:r>
              <w:rPr>
                <w:rFonts w:hint="eastAsia" w:ascii="黑体" w:hAnsi="黑体" w:eastAsia="黑体" w:cs="黑体"/>
                <w:sz w:val="32"/>
                <w:lang w:val="en-US" w:eastAsia="zh-CN"/>
              </w:rPr>
              <w:t>备注</w:t>
            </w:r>
          </w:p>
        </w:tc>
      </w:tr>
      <w:tr w14:paraId="620C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31" w:hRule="exact"/>
          <w:jc w:val="center"/>
        </w:trPr>
        <w:tc>
          <w:tcPr>
            <w:tcW w:w="910" w:type="dxa"/>
            <w:shd w:val="clear" w:color="auto" w:fill="auto"/>
            <w:tcMar>
              <w:top w:w="120" w:type="dxa"/>
              <w:left w:w="120" w:type="dxa"/>
              <w:bottom w:w="120" w:type="dxa"/>
              <w:right w:w="120" w:type="dxa"/>
            </w:tcMar>
            <w:vAlign w:val="center"/>
          </w:tcPr>
          <w:p w14:paraId="255B97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NEU-BZ-S92" w:hAnsi="NEU-BZ-S92" w:eastAsia="仿宋_GB2312"/>
                <w:sz w:val="32"/>
              </w:rPr>
            </w:pPr>
            <w:r>
              <w:rPr>
                <w:rFonts w:ascii="NEU-BZ-S92" w:hAnsi="NEU-BZ-S92" w:eastAsia="仿宋_GB2312"/>
                <w:sz w:val="32"/>
                <w:lang w:val="en-US" w:eastAsia="zh-CN"/>
              </w:rPr>
              <w:t>1</w:t>
            </w:r>
          </w:p>
        </w:tc>
        <w:tc>
          <w:tcPr>
            <w:tcW w:w="2174" w:type="dxa"/>
            <w:shd w:val="clear" w:color="auto" w:fill="auto"/>
            <w:tcMar>
              <w:top w:w="120" w:type="dxa"/>
              <w:left w:w="120" w:type="dxa"/>
              <w:bottom w:w="120" w:type="dxa"/>
              <w:right w:w="120" w:type="dxa"/>
            </w:tcMar>
            <w:vAlign w:val="center"/>
          </w:tcPr>
          <w:p w14:paraId="177107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NEU-BZ-S92" w:hAnsi="NEU-BZ-S92" w:eastAsia="仿宋_GB2312"/>
                <w:sz w:val="32"/>
              </w:rPr>
            </w:pPr>
            <w:r>
              <w:rPr>
                <w:rFonts w:ascii="NEU-BZ-S92" w:hAnsi="NEU-BZ-S92" w:eastAsia="仿宋_GB2312"/>
                <w:sz w:val="32"/>
                <w:lang w:val="en-US" w:eastAsia="zh-CN"/>
              </w:rPr>
              <w:t>整体食材配送下浮率</w:t>
            </w:r>
          </w:p>
        </w:tc>
        <w:tc>
          <w:tcPr>
            <w:tcW w:w="4066" w:type="dxa"/>
            <w:shd w:val="clear" w:color="auto" w:fill="auto"/>
            <w:tcMar>
              <w:top w:w="120" w:type="dxa"/>
              <w:left w:w="120" w:type="dxa"/>
              <w:bottom w:w="120" w:type="dxa"/>
              <w:right w:w="120" w:type="dxa"/>
            </w:tcMar>
            <w:vAlign w:val="center"/>
          </w:tcPr>
          <w:p w14:paraId="48EAAF7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NEU-BZ-S92" w:hAnsi="NEU-BZ-S92" w:eastAsia="仿宋_GB2312"/>
                <w:sz w:val="32"/>
                <w:lang w:val="en-US" w:eastAsia="zh-CN"/>
              </w:rPr>
            </w:pPr>
            <w:r>
              <w:rPr>
                <w:rFonts w:hint="eastAsia" w:ascii="NEU-BZ-S92" w:hAnsi="NEU-BZ-S92" w:eastAsia="仿宋_GB2312"/>
                <w:sz w:val="32"/>
                <w:lang w:val="en-US" w:eastAsia="zh-CN"/>
              </w:rPr>
              <w:t>___________%</w:t>
            </w:r>
          </w:p>
          <w:p w14:paraId="18B0E9B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NEU-BZ-S92" w:hAnsi="NEU-BZ-S92" w:eastAsia="仿宋_GB2312"/>
                <w:sz w:val="32"/>
              </w:rPr>
            </w:pPr>
            <w:r>
              <w:rPr>
                <w:rFonts w:ascii="NEU-BZ-S92" w:hAnsi="NEU-BZ-S92" w:eastAsia="仿宋_GB2312"/>
                <w:sz w:val="32"/>
                <w:lang w:val="en-US" w:eastAsia="zh-CN"/>
              </w:rPr>
              <w:t>（大写：百分之</w:t>
            </w:r>
            <w:r>
              <w:rPr>
                <w:rFonts w:hint="eastAsia" w:ascii="NEU-BZ-S92" w:hAnsi="NEU-BZ-S92" w:eastAsia="仿宋_GB2312"/>
                <w:sz w:val="32"/>
                <w:lang w:val="en-US" w:eastAsia="zh-CN"/>
              </w:rPr>
              <w:t>____</w:t>
            </w:r>
            <w:r>
              <w:rPr>
                <w:rFonts w:ascii="NEU-BZ-S92" w:hAnsi="NEU-BZ-S92" w:eastAsia="仿宋_GB2312"/>
                <w:sz w:val="32"/>
                <w:lang w:val="en-US" w:eastAsia="zh-CN"/>
              </w:rPr>
              <w:t>）</w:t>
            </w:r>
          </w:p>
        </w:tc>
        <w:tc>
          <w:tcPr>
            <w:tcW w:w="1907" w:type="dxa"/>
            <w:shd w:val="clear" w:color="auto" w:fill="auto"/>
            <w:tcMar>
              <w:top w:w="120" w:type="dxa"/>
              <w:left w:w="120" w:type="dxa"/>
              <w:bottom w:w="120" w:type="dxa"/>
              <w:right w:w="120" w:type="dxa"/>
            </w:tcMar>
            <w:vAlign w:val="center"/>
          </w:tcPr>
          <w:p w14:paraId="1DAEB7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NEU-BZ-S92" w:hAnsi="NEU-BZ-S92" w:eastAsia="仿宋_GB2312"/>
                <w:sz w:val="32"/>
              </w:rPr>
            </w:pPr>
            <w:r>
              <w:rPr>
                <w:rFonts w:ascii="NEU-BZ-S92" w:hAnsi="NEU-BZ-S92" w:eastAsia="仿宋_GB2312"/>
                <w:sz w:val="32"/>
                <w:lang w:val="en-US" w:eastAsia="zh-CN"/>
              </w:rPr>
              <w:t>保留小数点后两位</w:t>
            </w:r>
          </w:p>
        </w:tc>
      </w:tr>
      <w:tr w14:paraId="055AD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31" w:hRule="exact"/>
          <w:jc w:val="center"/>
        </w:trPr>
        <w:tc>
          <w:tcPr>
            <w:tcW w:w="910" w:type="dxa"/>
            <w:shd w:val="clear" w:color="auto" w:fill="auto"/>
            <w:tcMar>
              <w:top w:w="120" w:type="dxa"/>
              <w:left w:w="120" w:type="dxa"/>
              <w:bottom w:w="120" w:type="dxa"/>
              <w:right w:w="120" w:type="dxa"/>
            </w:tcMar>
            <w:vAlign w:val="center"/>
          </w:tcPr>
          <w:p w14:paraId="574366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NEU-BZ-S92" w:hAnsi="NEU-BZ-S92" w:eastAsia="仿宋_GB2312"/>
                <w:sz w:val="32"/>
              </w:rPr>
            </w:pPr>
            <w:r>
              <w:rPr>
                <w:rFonts w:hint="eastAsia" w:ascii="NEU-BZ-S92" w:hAnsi="NEU-BZ-S92" w:eastAsia="仿宋_GB2312"/>
                <w:sz w:val="32"/>
                <w:lang w:val="en-US" w:eastAsia="zh-CN"/>
              </w:rPr>
              <w:t>2</w:t>
            </w:r>
          </w:p>
        </w:tc>
        <w:tc>
          <w:tcPr>
            <w:tcW w:w="2174" w:type="dxa"/>
            <w:shd w:val="clear" w:color="auto" w:fill="auto"/>
            <w:tcMar>
              <w:top w:w="120" w:type="dxa"/>
              <w:left w:w="120" w:type="dxa"/>
              <w:bottom w:w="120" w:type="dxa"/>
              <w:right w:w="120" w:type="dxa"/>
            </w:tcMar>
            <w:vAlign w:val="center"/>
          </w:tcPr>
          <w:p w14:paraId="7221B6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NEU-BZ-S92" w:hAnsi="NEU-BZ-S92" w:eastAsia="仿宋_GB2312"/>
                <w:sz w:val="32"/>
              </w:rPr>
            </w:pPr>
            <w:r>
              <w:rPr>
                <w:rFonts w:ascii="NEU-BZ-S92" w:hAnsi="NEU-BZ-S92" w:eastAsia="仿宋_GB2312"/>
                <w:sz w:val="32"/>
                <w:lang w:val="en-US" w:eastAsia="zh-CN"/>
              </w:rPr>
              <w:t>服务期限</w:t>
            </w:r>
          </w:p>
        </w:tc>
        <w:tc>
          <w:tcPr>
            <w:tcW w:w="4066" w:type="dxa"/>
            <w:shd w:val="clear" w:color="auto" w:fill="auto"/>
            <w:tcMar>
              <w:top w:w="120" w:type="dxa"/>
              <w:left w:w="120" w:type="dxa"/>
              <w:bottom w:w="120" w:type="dxa"/>
              <w:right w:w="120" w:type="dxa"/>
            </w:tcMar>
            <w:vAlign w:val="center"/>
          </w:tcPr>
          <w:p w14:paraId="155BD5A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NEU-BZ-S92" w:hAnsi="NEU-BZ-S92" w:eastAsia="仿宋_GB2312"/>
                <w:sz w:val="32"/>
              </w:rPr>
            </w:pPr>
            <w:r>
              <w:rPr>
                <w:rFonts w:hint="eastAsia" w:ascii="NEU-BZ-S92" w:hAnsi="NEU-BZ-S92" w:eastAsia="仿宋_GB2312"/>
                <w:sz w:val="32"/>
                <w:lang w:val="en-US" w:eastAsia="zh-CN"/>
              </w:rPr>
              <w:t>1</w:t>
            </w:r>
            <w:r>
              <w:rPr>
                <w:rFonts w:ascii="NEU-BZ-S92" w:hAnsi="NEU-BZ-S92" w:eastAsia="仿宋_GB2312"/>
                <w:sz w:val="32"/>
                <w:lang w:val="en-US" w:eastAsia="zh-CN"/>
              </w:rPr>
              <w:t>年（合同签订之日起）</w:t>
            </w:r>
          </w:p>
        </w:tc>
        <w:tc>
          <w:tcPr>
            <w:tcW w:w="1907" w:type="dxa"/>
            <w:shd w:val="clear" w:color="auto" w:fill="auto"/>
            <w:tcMar>
              <w:top w:w="120" w:type="dxa"/>
              <w:left w:w="120" w:type="dxa"/>
              <w:bottom w:w="120" w:type="dxa"/>
              <w:right w:w="120" w:type="dxa"/>
            </w:tcMar>
            <w:vAlign w:val="center"/>
          </w:tcPr>
          <w:p w14:paraId="011298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NEU-BZ-S92" w:hAnsi="NEU-BZ-S92" w:eastAsia="仿宋_GB2312"/>
                <w:sz w:val="32"/>
              </w:rPr>
            </w:pPr>
          </w:p>
        </w:tc>
      </w:tr>
      <w:tr w14:paraId="2AAEC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701" w:hRule="exact"/>
          <w:jc w:val="center"/>
        </w:trPr>
        <w:tc>
          <w:tcPr>
            <w:tcW w:w="910" w:type="dxa"/>
            <w:shd w:val="clear" w:color="auto" w:fill="auto"/>
            <w:tcMar>
              <w:top w:w="120" w:type="dxa"/>
              <w:left w:w="120" w:type="dxa"/>
              <w:bottom w:w="120" w:type="dxa"/>
              <w:right w:w="120" w:type="dxa"/>
            </w:tcMar>
            <w:vAlign w:val="center"/>
          </w:tcPr>
          <w:p w14:paraId="010AFA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NEU-BZ-S92" w:hAnsi="NEU-BZ-S92" w:eastAsia="仿宋_GB2312"/>
                <w:sz w:val="32"/>
              </w:rPr>
            </w:pPr>
            <w:r>
              <w:rPr>
                <w:rFonts w:hint="eastAsia" w:ascii="NEU-BZ-S92" w:hAnsi="NEU-BZ-S92" w:eastAsia="仿宋_GB2312"/>
                <w:sz w:val="32"/>
                <w:lang w:val="en-US" w:eastAsia="zh-CN"/>
              </w:rPr>
              <w:t>3</w:t>
            </w:r>
          </w:p>
        </w:tc>
        <w:tc>
          <w:tcPr>
            <w:tcW w:w="2174" w:type="dxa"/>
            <w:shd w:val="clear" w:color="auto" w:fill="auto"/>
            <w:tcMar>
              <w:top w:w="120" w:type="dxa"/>
              <w:left w:w="120" w:type="dxa"/>
              <w:bottom w:w="120" w:type="dxa"/>
              <w:right w:w="120" w:type="dxa"/>
            </w:tcMar>
            <w:vAlign w:val="center"/>
          </w:tcPr>
          <w:p w14:paraId="44F12E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NEU-BZ-S92" w:hAnsi="NEU-BZ-S92" w:eastAsia="仿宋_GB2312"/>
                <w:sz w:val="32"/>
              </w:rPr>
            </w:pPr>
            <w:r>
              <w:rPr>
                <w:rFonts w:ascii="NEU-BZ-S92" w:hAnsi="NEU-BZ-S92" w:eastAsia="仿宋_GB2312"/>
                <w:sz w:val="32"/>
                <w:lang w:val="en-US" w:eastAsia="zh-CN"/>
              </w:rPr>
              <w:t>报价包含内容</w:t>
            </w:r>
          </w:p>
        </w:tc>
        <w:tc>
          <w:tcPr>
            <w:tcW w:w="4066" w:type="dxa"/>
            <w:shd w:val="clear" w:color="auto" w:fill="auto"/>
            <w:tcMar>
              <w:top w:w="120" w:type="dxa"/>
              <w:left w:w="120" w:type="dxa"/>
              <w:bottom w:w="120" w:type="dxa"/>
              <w:right w:w="120" w:type="dxa"/>
            </w:tcMar>
            <w:vAlign w:val="center"/>
          </w:tcPr>
          <w:p w14:paraId="689A1EB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NEU-BZ-S92" w:hAnsi="NEU-BZ-S92" w:eastAsia="仿宋_GB2312"/>
                <w:sz w:val="32"/>
              </w:rPr>
            </w:pPr>
            <w:r>
              <w:rPr>
                <w:rFonts w:ascii="NEU-BZ-S92" w:hAnsi="NEU-BZ-S92" w:eastAsia="仿宋_GB2312"/>
                <w:sz w:val="32"/>
                <w:lang w:val="en-US" w:eastAsia="zh-CN"/>
              </w:rPr>
              <w:t>食材采购、分拣、包装、冷链运输、人工、税费、售后、损耗等全部费用</w:t>
            </w:r>
          </w:p>
        </w:tc>
        <w:tc>
          <w:tcPr>
            <w:tcW w:w="1907" w:type="dxa"/>
            <w:shd w:val="clear" w:color="auto" w:fill="auto"/>
            <w:tcMar>
              <w:top w:w="120" w:type="dxa"/>
              <w:left w:w="120" w:type="dxa"/>
              <w:bottom w:w="120" w:type="dxa"/>
              <w:right w:w="120" w:type="dxa"/>
            </w:tcMar>
            <w:vAlign w:val="center"/>
          </w:tcPr>
          <w:p w14:paraId="1D0C4C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NEU-BZ-S92" w:hAnsi="NEU-BZ-S92" w:eastAsia="仿宋_GB2312"/>
                <w:sz w:val="32"/>
              </w:rPr>
            </w:pPr>
            <w:r>
              <w:rPr>
                <w:rFonts w:ascii="NEU-BZ-S92" w:hAnsi="NEU-BZ-S92" w:eastAsia="仿宋_GB2312"/>
                <w:sz w:val="32"/>
                <w:lang w:val="en-US" w:eastAsia="zh-CN"/>
              </w:rPr>
              <w:t>无额外费用</w:t>
            </w:r>
          </w:p>
        </w:tc>
      </w:tr>
    </w:tbl>
    <w:p w14:paraId="5DDB0E6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rPr>
      </w:pPr>
      <w:r>
        <w:rPr>
          <w:rFonts w:hint="eastAsia" w:ascii="黑体" w:hAnsi="黑体" w:eastAsia="黑体" w:cs="黑体"/>
          <w:sz w:val="32"/>
          <w:lang w:val="en-US" w:eastAsia="zh-CN"/>
        </w:rPr>
        <w:t>报价说明：</w:t>
      </w:r>
    </w:p>
    <w:p w14:paraId="2D66A7F9">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ascii="NEU-BZ-S92" w:hAnsi="NEU-BZ-S92" w:eastAsia="仿宋_GB2312"/>
          <w:sz w:val="32"/>
        </w:rPr>
      </w:pPr>
      <w:r>
        <w:rPr>
          <w:rFonts w:ascii="NEU-BZ-S92" w:hAnsi="NEU-BZ-S92" w:eastAsia="仿宋_GB2312"/>
          <w:sz w:val="32"/>
          <w:lang w:val="en-US" w:eastAsia="zh-CN"/>
        </w:rPr>
        <w:t>本项目采用</w:t>
      </w:r>
      <w:r>
        <w:rPr>
          <w:rFonts w:hint="eastAsia" w:ascii="NEU-BZ-S92" w:hAnsi="NEU-BZ-S92" w:eastAsia="仿宋_GB2312"/>
          <w:sz w:val="32"/>
          <w:lang w:val="en-US" w:eastAsia="zh-CN"/>
        </w:rPr>
        <w:t>“</w:t>
      </w:r>
      <w:r>
        <w:rPr>
          <w:rFonts w:ascii="NEU-BZ-S92" w:hAnsi="NEU-BZ-S92" w:eastAsia="仿宋_GB2312"/>
          <w:sz w:val="32"/>
          <w:lang w:val="en-US" w:eastAsia="zh-CN"/>
        </w:rPr>
        <w:t>基准价+下浮率</w:t>
      </w:r>
      <w:r>
        <w:rPr>
          <w:rFonts w:hint="eastAsia" w:ascii="NEU-BZ-S92" w:hAnsi="NEU-BZ-S92" w:eastAsia="仿宋_GB2312"/>
          <w:sz w:val="32"/>
          <w:lang w:val="en-US" w:eastAsia="zh-CN"/>
        </w:rPr>
        <w:t>”</w:t>
      </w:r>
      <w:r>
        <w:rPr>
          <w:rFonts w:ascii="NEU-BZ-S92" w:hAnsi="NEU-BZ-S92" w:eastAsia="仿宋_GB2312"/>
          <w:sz w:val="32"/>
          <w:lang w:val="en-US" w:eastAsia="zh-CN"/>
        </w:rPr>
        <w:t>定价模式，基准价以东莞市发展和改革局每周公示的东莞市菜篮子价格监测零售均价为唯一结算基准；</w:t>
      </w:r>
    </w:p>
    <w:p w14:paraId="6FE0B1C1">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0" w:firstLineChars="200"/>
        <w:textAlignment w:val="auto"/>
        <w:rPr>
          <w:rFonts w:ascii="NEU-BZ-S92" w:hAnsi="NEU-BZ-S92" w:eastAsia="仿宋_GB2312"/>
          <w:sz w:val="32"/>
        </w:rPr>
      </w:pPr>
      <w:r>
        <w:rPr>
          <w:rFonts w:ascii="NEU-BZ-S92" w:hAnsi="NEU-BZ-S92" w:eastAsia="仿宋_GB2312"/>
          <w:sz w:val="32"/>
          <w:lang w:val="en-US" w:eastAsia="zh-CN"/>
        </w:rPr>
        <w:t>结算公式：单次结算价格=基准价×（1-下浮率）×实际验收合格重量/数量；</w:t>
      </w:r>
    </w:p>
    <w:p w14:paraId="6DD145AB">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3" w:firstLineChars="200"/>
        <w:textAlignment w:val="auto"/>
        <w:rPr>
          <w:rFonts w:ascii="NEU-BZ-S92" w:hAnsi="NEU-BZ-S92" w:eastAsia="仿宋_GB2312"/>
          <w:sz w:val="32"/>
        </w:rPr>
      </w:pPr>
      <w:r>
        <w:rPr>
          <w:rFonts w:ascii="NEU-BZ-S92" w:hAnsi="NEU-BZ-S92" w:eastAsia="仿宋_GB2312"/>
          <w:b/>
          <w:bCs/>
          <w:sz w:val="32"/>
          <w:lang w:val="en-US" w:eastAsia="zh-CN"/>
        </w:rPr>
        <w:t>下浮率合同期内固定不变</w:t>
      </w:r>
      <w:r>
        <w:rPr>
          <w:rFonts w:ascii="NEU-BZ-S92" w:hAnsi="NEU-BZ-S92" w:eastAsia="仿宋_GB2312"/>
          <w:sz w:val="32"/>
          <w:lang w:val="en-US" w:eastAsia="zh-CN"/>
        </w:rPr>
        <w:t>，供应商不得擅自调整；</w:t>
      </w:r>
    </w:p>
    <w:p w14:paraId="20387342">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0" w:firstLineChars="200"/>
        <w:textAlignment w:val="auto"/>
        <w:rPr>
          <w:rFonts w:ascii="NEU-BZ-S92" w:hAnsi="NEU-BZ-S92" w:eastAsia="仿宋_GB2312"/>
          <w:sz w:val="32"/>
        </w:rPr>
      </w:pPr>
      <w:r>
        <w:rPr>
          <w:rFonts w:ascii="NEU-BZ-S92" w:hAnsi="NEU-BZ-S92" w:eastAsia="仿宋_GB2312"/>
          <w:sz w:val="32"/>
          <w:lang w:val="en-US" w:eastAsia="zh-CN"/>
        </w:rPr>
        <w:t>下浮率不得为负，</w:t>
      </w:r>
      <w:bookmarkStart w:id="0" w:name="_GoBack"/>
      <w:bookmarkEnd w:id="0"/>
      <w:r>
        <w:rPr>
          <w:rFonts w:ascii="NEU-BZ-S92" w:hAnsi="NEU-BZ-S92" w:eastAsia="仿宋_GB2312"/>
          <w:sz w:val="32"/>
          <w:lang w:val="en-US" w:eastAsia="zh-CN"/>
        </w:rPr>
        <w:t>报价保留小数点后两位。</w:t>
      </w:r>
    </w:p>
    <w:sectPr>
      <w:pgSz w:w="11906" w:h="16838"/>
      <w:pgMar w:top="2098"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NEU-BZ-S92">
    <w:panose1 w:val="02020503000000020003"/>
    <w:charset w:val="86"/>
    <w:family w:val="auto"/>
    <w:pitch w:val="default"/>
    <w:sig w:usb0="E00002FF" w:usb1="5ACFECFE" w:usb2="05000016" w:usb3="00000000" w:csb0="003E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503A99"/>
    <w:multiLevelType w:val="singleLevel"/>
    <w:tmpl w:val="88503A99"/>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9C5BCD"/>
    <w:rsid w:val="06CA427B"/>
    <w:rsid w:val="08D13DE0"/>
    <w:rsid w:val="0EC8744E"/>
    <w:rsid w:val="12C329EB"/>
    <w:rsid w:val="1BCD2E98"/>
    <w:rsid w:val="209D19A2"/>
    <w:rsid w:val="26797620"/>
    <w:rsid w:val="2C4B7881"/>
    <w:rsid w:val="2EC4391B"/>
    <w:rsid w:val="30297EDA"/>
    <w:rsid w:val="365D08DD"/>
    <w:rsid w:val="3A6E2945"/>
    <w:rsid w:val="3AB72586"/>
    <w:rsid w:val="3BBF7944"/>
    <w:rsid w:val="3D31661F"/>
    <w:rsid w:val="3E7E6967"/>
    <w:rsid w:val="43CF0940"/>
    <w:rsid w:val="4554734F"/>
    <w:rsid w:val="4D405120"/>
    <w:rsid w:val="533E33EC"/>
    <w:rsid w:val="54324CFF"/>
    <w:rsid w:val="5B3475AF"/>
    <w:rsid w:val="651026AD"/>
    <w:rsid w:val="67987287"/>
    <w:rsid w:val="6BC404DB"/>
    <w:rsid w:val="6F7B7C36"/>
    <w:rsid w:val="70191136"/>
    <w:rsid w:val="705F6A24"/>
    <w:rsid w:val="78CC0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6ca8b20e-460c-4c7d-a77c-ee4acbaf9bf6}">
  <ds:schemaRefs/>
</ds:datastoreItem>
</file>

<file path=docProps/app.xml><?xml version="1.0" encoding="utf-8"?>
<Properties xmlns="http://schemas.openxmlformats.org/officeDocument/2006/extended-properties" xmlns:vt="http://schemas.openxmlformats.org/officeDocument/2006/docPropsVTypes">
  <Template>Normal.dotm</Template>
  <Pages>1</Pages>
  <Words>265</Words>
  <Characters>280</Characters>
  <Lines>0</Lines>
  <Paragraphs>0</Paragraphs>
  <TotalTime>0</TotalTime>
  <ScaleCrop>false</ScaleCrop>
  <LinksUpToDate>false</LinksUpToDate>
  <CharactersWithSpaces>280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2026-08-05T09:09:00Z</dcterms:created>
  <dc:creator>Administrator</dc:creator>
  <cp:lastModifiedBy>A</cp:lastModifiedBy>
  <cp:lastPrinted>2026-08-06T02:05:00Z</cp:lastPrinted>
  <dcterms:modified xsi:type="dcterms:W3CDTF">2026-09-14T07:28:38Z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eyJoZGlkIjoiNTI1MjQwMTI3MWMzYmMwYjhmNDU2ZjAyNjM0MTIwYTYiLCJ1c2VySWQiOiIzODY0Nzc5NjgifQ==</vt:lpwstr>
  </property>
  <property fmtid="{D5CDD505-2E9C-101B-9397-08002B2CF9AE}" pid="4" name="ICV">
    <vt:lpwstr>A830A15A8F92430A99668C6F588ADC15_12</vt:lpwstr>
  </property>
</Properties>
</file>