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A03A5">
      <w:pPr>
        <w:keepNext w:val="0"/>
        <w:keepLines w:val="0"/>
        <w:pageBreakBefore w:val="0"/>
        <w:widowControl w:val="0"/>
        <w:kinsoku/>
        <w:wordWrap/>
        <w:overflowPunct/>
        <w:topLinePunct w:val="0"/>
        <w:autoSpaceDE/>
        <w:autoSpaceDN/>
        <w:bidi w:val="0"/>
        <w:adjustRightInd/>
        <w:snapToGrid w:val="0"/>
        <w:spacing w:beforeAutospacing="0" w:afterAutospacing="0" w:line="580" w:lineRule="atLeast"/>
        <w:ind w:firstLine="0" w:firstLineChars="0"/>
        <w:jc w:val="center"/>
        <w:textAlignment w:val="auto"/>
        <w:rPr>
          <w:rFonts w:hint="eastAsia" w:ascii="方正小标宋简体" w:eastAsia="方正小标宋简体"/>
          <w:color w:val="auto"/>
          <w:spacing w:val="-20"/>
          <w:sz w:val="42"/>
          <w:szCs w:val="42"/>
          <w:lang w:val="en-US" w:eastAsia="zh-CN"/>
        </w:rPr>
      </w:pPr>
      <w:r>
        <w:rPr>
          <w:rFonts w:hint="eastAsia" w:ascii="方正小标宋简体" w:eastAsia="方正小标宋简体"/>
          <w:color w:val="auto"/>
          <w:spacing w:val="-20"/>
          <w:sz w:val="42"/>
          <w:szCs w:val="42"/>
          <w:lang w:val="en-US" w:eastAsia="zh-CN"/>
        </w:rPr>
        <w:t>2026年东莞市总工会职工电竞体验赛赛事服务</w:t>
      </w:r>
    </w:p>
    <w:p w14:paraId="07FDF29D">
      <w:pPr>
        <w:keepNext w:val="0"/>
        <w:keepLines w:val="0"/>
        <w:pageBreakBefore w:val="0"/>
        <w:widowControl w:val="0"/>
        <w:kinsoku/>
        <w:wordWrap/>
        <w:overflowPunct/>
        <w:topLinePunct w:val="0"/>
        <w:autoSpaceDE/>
        <w:autoSpaceDN/>
        <w:bidi w:val="0"/>
        <w:adjustRightInd/>
        <w:snapToGrid w:val="0"/>
        <w:spacing w:beforeAutospacing="0" w:afterAutospacing="0" w:line="580" w:lineRule="atLeast"/>
        <w:ind w:firstLine="760" w:firstLineChars="200"/>
        <w:jc w:val="center"/>
        <w:textAlignment w:val="auto"/>
        <w:rPr>
          <w:rFonts w:hint="eastAsia" w:ascii="方正小标宋简体" w:eastAsia="方正小标宋简体"/>
          <w:color w:val="auto"/>
          <w:spacing w:val="-20"/>
          <w:sz w:val="42"/>
          <w:szCs w:val="42"/>
          <w:lang w:val="en-US" w:eastAsia="zh-CN"/>
        </w:rPr>
      </w:pPr>
      <w:r>
        <w:rPr>
          <w:rFonts w:hint="eastAsia" w:ascii="方正小标宋简体" w:eastAsia="方正小标宋简体"/>
          <w:color w:val="auto"/>
          <w:spacing w:val="-20"/>
          <w:sz w:val="42"/>
          <w:szCs w:val="42"/>
          <w:lang w:val="en-US" w:eastAsia="zh-CN"/>
        </w:rPr>
        <w:t>项目用户需求书</w:t>
      </w:r>
    </w:p>
    <w:p w14:paraId="3E5B90AA">
      <w:pPr>
        <w:keepNext w:val="0"/>
        <w:keepLines w:val="0"/>
        <w:pageBreakBefore w:val="0"/>
        <w:widowControl w:val="0"/>
        <w:kinsoku/>
        <w:wordWrap/>
        <w:overflowPunct/>
        <w:topLinePunct w:val="0"/>
        <w:autoSpaceDE/>
        <w:autoSpaceDN/>
        <w:bidi w:val="0"/>
        <w:adjustRightInd/>
        <w:snapToGrid w:val="0"/>
        <w:spacing w:beforeAutospacing="0" w:afterAutospacing="0" w:line="580" w:lineRule="atLeast"/>
        <w:ind w:firstLine="760" w:firstLineChars="200"/>
        <w:jc w:val="center"/>
        <w:textAlignment w:val="auto"/>
        <w:rPr>
          <w:rFonts w:hint="eastAsia" w:ascii="方正小标宋简体" w:eastAsia="方正小标宋简体"/>
          <w:color w:val="auto"/>
          <w:spacing w:val="-20"/>
          <w:sz w:val="42"/>
          <w:szCs w:val="42"/>
          <w:lang w:val="en-US" w:eastAsia="zh-CN"/>
        </w:rPr>
      </w:pPr>
    </w:p>
    <w:p w14:paraId="4A60E7DD">
      <w:pPr>
        <w:pStyle w:val="3"/>
        <w:keepNext w:val="0"/>
        <w:keepLines w:val="0"/>
        <w:pageBreakBefore w:val="0"/>
        <w:widowControl/>
        <w:numPr>
          <w:ilvl w:val="0"/>
          <w:numId w:val="1"/>
        </w:numPr>
        <w:suppressLineNumbers w:val="0"/>
        <w:kinsoku/>
        <w:wordWrap/>
        <w:overflowPunct/>
        <w:topLinePunct w:val="0"/>
        <w:autoSpaceDE/>
        <w:autoSpaceDN/>
        <w:bidi w:val="0"/>
        <w:adjustRightInd/>
        <w:snapToGrid w:val="0"/>
        <w:spacing w:beforeAutospacing="0" w:afterAutospacing="0" w:line="580" w:lineRule="atLeast"/>
        <w:ind w:firstLine="640" w:firstLineChars="200"/>
        <w:jc w:val="left"/>
        <w:textAlignment w:val="auto"/>
        <w:outlineLvl w:val="1"/>
        <w:rPr>
          <w:rFonts w:hint="eastAsia"/>
          <w:lang w:val="en-US" w:eastAsia="zh-CN"/>
        </w:rPr>
      </w:pPr>
      <w:r>
        <w:rPr>
          <w:rFonts w:hint="eastAsia" w:ascii="黑体" w:hAnsi="黑体" w:eastAsia="黑体" w:cs="黑体"/>
          <w:b w:val="0"/>
          <w:bCs w:val="0"/>
          <w:color w:val="auto"/>
          <w:kern w:val="2"/>
          <w:sz w:val="32"/>
          <w:szCs w:val="32"/>
          <w:lang w:val="en-US" w:eastAsia="zh-CN" w:bidi="ar-SA"/>
        </w:rPr>
        <w:t>项目概况</w:t>
      </w:r>
    </w:p>
    <w:p w14:paraId="6D42BF9F">
      <w:pPr>
        <w:pStyle w:val="3"/>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580" w:lineRule="atLeast"/>
        <w:ind w:firstLine="643" w:firstLineChars="200"/>
        <w:jc w:val="left"/>
        <w:textAlignment w:val="auto"/>
        <w:outlineLvl w:val="1"/>
        <w:rPr>
          <w:rFonts w:hint="eastAsia" w:ascii="NEU-BZ-S92" w:hAnsi="NEU-BZ-S92" w:eastAsia="仿宋_GB2312" w:cs="仿宋_GB2312"/>
          <w:b/>
          <w:bCs/>
          <w:color w:val="auto"/>
          <w:kern w:val="0"/>
          <w:sz w:val="32"/>
          <w:szCs w:val="32"/>
          <w:lang w:val="en-US" w:eastAsia="zh-CN" w:bidi="ar-SA"/>
        </w:rPr>
      </w:pPr>
      <w:r>
        <w:rPr>
          <w:rFonts w:hint="eastAsia" w:ascii="NEU-BZ-S92" w:hAnsi="NEU-BZ-S92" w:eastAsia="仿宋_GB2312" w:cs="仿宋_GB2312"/>
          <w:b/>
          <w:bCs/>
          <w:color w:val="auto"/>
          <w:kern w:val="0"/>
          <w:sz w:val="32"/>
          <w:szCs w:val="32"/>
          <w:lang w:val="en-US" w:eastAsia="zh-CN" w:bidi="ar-SA"/>
        </w:rPr>
        <w:t>（一）项目背景</w:t>
      </w:r>
    </w:p>
    <w:p w14:paraId="2D125235">
      <w:pPr>
        <w:keepNext w:val="0"/>
        <w:keepLines w:val="0"/>
        <w:pageBreakBefore w:val="0"/>
        <w:widowControl w:val="0"/>
        <w:kinsoku/>
        <w:wordWrap/>
        <w:overflowPunct/>
        <w:topLinePunct w:val="0"/>
        <w:autoSpaceDE/>
        <w:autoSpaceDN/>
        <w:bidi w:val="0"/>
        <w:adjustRightInd/>
        <w:snapToGrid w:val="0"/>
        <w:spacing w:beforeAutospacing="0" w:afterAutospacing="0" w:line="580" w:lineRule="atLeast"/>
        <w:ind w:firstLine="640" w:firstLineChars="200"/>
        <w:jc w:val="both"/>
        <w:textAlignment w:val="auto"/>
        <w:rPr>
          <w:rFonts w:hint="default" w:ascii="NEU-BZ-S92" w:hAnsi="NEU-BZ-S92" w:eastAsia="仿宋_GB2312" w:cs="仿宋_GB2312"/>
          <w:b w:val="0"/>
          <w:bCs w:val="0"/>
          <w:color w:val="auto"/>
          <w:kern w:val="0"/>
          <w:sz w:val="32"/>
          <w:szCs w:val="32"/>
          <w:lang w:val="en-US" w:eastAsia="zh-CN"/>
        </w:rPr>
      </w:pPr>
      <w:r>
        <w:rPr>
          <w:rFonts w:hint="default" w:ascii="NEU-BZ-S92" w:hAnsi="NEU-BZ-S92" w:eastAsia="仿宋_GB2312" w:cs="仿宋_GB2312"/>
          <w:b w:val="0"/>
          <w:bCs w:val="0"/>
          <w:color w:val="auto"/>
          <w:kern w:val="0"/>
          <w:sz w:val="32"/>
          <w:szCs w:val="32"/>
          <w:lang w:val="en-US" w:eastAsia="zh-CN"/>
        </w:rPr>
        <w:t>为进一步丰富东莞广大职工精神文化生活，拓展工会联系职工、服务职工、凝聚职工的全新场景，精准匹配青年职工多元化、年轻化的文体需求，依托第三届东莞电竞文化嘉年华及和平精英线下赛事举办契机，东莞市总工会拟开展2026年职工电竞体验赛项目。项目立足东莞产业工人城市特色，以电竞团队竞技为载体，搭建职工交流互动平台，充分展现东莞职工团结协作、积极向上、勇于挑战的精神风貌，彰显东莞开放包容的城市形象，进一步夯实工会服务职工、凝聚职工的工作根基。</w:t>
      </w:r>
    </w:p>
    <w:p w14:paraId="21D95F9F">
      <w:pPr>
        <w:pStyle w:val="3"/>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580" w:lineRule="atLeast"/>
        <w:ind w:firstLine="643" w:firstLineChars="200"/>
        <w:jc w:val="left"/>
        <w:textAlignment w:val="auto"/>
        <w:outlineLvl w:val="1"/>
        <w:rPr>
          <w:rFonts w:hint="eastAsia" w:ascii="NEU-BZ-S92" w:hAnsi="NEU-BZ-S92" w:eastAsia="仿宋_GB2312" w:cs="仿宋_GB2312"/>
          <w:b/>
          <w:bCs/>
          <w:color w:val="auto"/>
          <w:kern w:val="0"/>
          <w:sz w:val="32"/>
          <w:szCs w:val="32"/>
          <w:lang w:val="en-US" w:eastAsia="zh-CN" w:bidi="ar-SA"/>
        </w:rPr>
      </w:pPr>
      <w:r>
        <w:rPr>
          <w:rFonts w:hint="eastAsia" w:ascii="NEU-BZ-S92" w:hAnsi="NEU-BZ-S92" w:eastAsia="仿宋_GB2312" w:cs="仿宋_GB2312"/>
          <w:b/>
          <w:bCs/>
          <w:color w:val="auto"/>
          <w:kern w:val="0"/>
          <w:sz w:val="32"/>
          <w:szCs w:val="32"/>
          <w:lang w:val="en-US" w:eastAsia="zh-CN" w:bidi="ar-SA"/>
        </w:rPr>
        <w:t>（二）项目名称</w:t>
      </w:r>
    </w:p>
    <w:p w14:paraId="6E7324B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80" w:lineRule="atLeast"/>
        <w:ind w:firstLine="640" w:firstLineChars="200"/>
        <w:jc w:val="left"/>
        <w:textAlignment w:val="auto"/>
        <w:rPr>
          <w:rFonts w:hint="default" w:ascii="NEU-BZ-S92" w:hAnsi="NEU-BZ-S92" w:eastAsia="仿宋_GB2312" w:cs="仿宋_GB2312"/>
          <w:b w:val="0"/>
          <w:bCs w:val="0"/>
          <w:color w:val="auto"/>
          <w:kern w:val="0"/>
          <w:sz w:val="32"/>
          <w:szCs w:val="32"/>
          <w:lang w:val="en-US" w:eastAsia="zh-CN" w:bidi="ar-SA"/>
        </w:rPr>
      </w:pPr>
      <w:r>
        <w:rPr>
          <w:rFonts w:hint="default" w:ascii="NEU-BZ-S92" w:hAnsi="NEU-BZ-S92" w:eastAsia="仿宋_GB2312" w:cs="仿宋_GB2312"/>
          <w:b w:val="0"/>
          <w:bCs w:val="0"/>
          <w:color w:val="auto"/>
          <w:kern w:val="0"/>
          <w:sz w:val="32"/>
          <w:szCs w:val="32"/>
          <w:lang w:val="en-US" w:eastAsia="zh-CN" w:bidi="ar-SA"/>
        </w:rPr>
        <w:t>2026年东莞市总工会职工电竞体验赛赛事服务项目</w:t>
      </w:r>
    </w:p>
    <w:p w14:paraId="6E5F3277">
      <w:pPr>
        <w:pStyle w:val="3"/>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580" w:lineRule="atLeast"/>
        <w:ind w:firstLine="643" w:firstLineChars="200"/>
        <w:jc w:val="left"/>
        <w:textAlignment w:val="auto"/>
        <w:outlineLvl w:val="1"/>
        <w:rPr>
          <w:rFonts w:hint="eastAsia" w:ascii="NEU-BZ-S92" w:hAnsi="NEU-BZ-S92" w:eastAsia="仿宋_GB2312" w:cs="仿宋_GB2312"/>
          <w:b/>
          <w:bCs/>
          <w:color w:val="auto"/>
          <w:kern w:val="0"/>
          <w:sz w:val="32"/>
          <w:szCs w:val="32"/>
          <w:lang w:val="en-US" w:eastAsia="zh-CN" w:bidi="ar-SA"/>
        </w:rPr>
      </w:pPr>
      <w:r>
        <w:rPr>
          <w:rFonts w:hint="eastAsia" w:ascii="NEU-BZ-S92" w:hAnsi="NEU-BZ-S92" w:eastAsia="仿宋_GB2312" w:cs="仿宋_GB2312"/>
          <w:b/>
          <w:bCs/>
          <w:color w:val="auto"/>
          <w:kern w:val="0"/>
          <w:sz w:val="32"/>
          <w:szCs w:val="32"/>
          <w:lang w:val="en-US" w:eastAsia="zh-CN" w:bidi="ar-SA"/>
        </w:rPr>
        <w:t>（三）服务目标</w:t>
      </w:r>
    </w:p>
    <w:p w14:paraId="4486147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80" w:lineRule="atLeast"/>
        <w:ind w:firstLine="640" w:firstLineChars="200"/>
        <w:jc w:val="left"/>
        <w:textAlignment w:val="auto"/>
        <w:rPr>
          <w:rFonts w:hint="default" w:ascii="NEU-BZ-S92" w:hAnsi="NEU-BZ-S92" w:eastAsia="仿宋_GB2312" w:cs="仿宋_GB2312"/>
          <w:b w:val="0"/>
          <w:bCs w:val="0"/>
          <w:color w:val="auto"/>
          <w:kern w:val="0"/>
          <w:sz w:val="32"/>
          <w:szCs w:val="32"/>
          <w:lang w:val="en-US" w:eastAsia="zh-CN" w:bidi="ar-SA"/>
        </w:rPr>
      </w:pPr>
      <w:r>
        <w:rPr>
          <w:rFonts w:hint="default" w:ascii="NEU-BZ-S92" w:hAnsi="NEU-BZ-S92" w:eastAsia="仿宋_GB2312" w:cs="仿宋_GB2312"/>
          <w:b w:val="0"/>
          <w:bCs w:val="0"/>
          <w:color w:val="auto"/>
          <w:kern w:val="0"/>
          <w:sz w:val="32"/>
          <w:szCs w:val="32"/>
          <w:lang w:val="en-US" w:eastAsia="zh-CN" w:bidi="ar-SA"/>
        </w:rPr>
        <w:t>围绕工会职工文化服务核心定位，高标准完成本次职工电竞赛事全流程策划、组织执行、现场保障、宣传推广及配套服务工作。通过规范化、专业化、年轻化的赛事运营，打造特色职工电竞文体活动品牌，丰富职工文体生活，深化职工交流联谊，传递健康电竞、积极奋斗的正向理念，助力东莞职工文化建设与城市活力提升。</w:t>
      </w:r>
    </w:p>
    <w:p w14:paraId="092A52FC">
      <w:pPr>
        <w:pStyle w:val="3"/>
        <w:keepNext w:val="0"/>
        <w:keepLines w:val="0"/>
        <w:pageBreakBefore w:val="0"/>
        <w:widowControl/>
        <w:numPr>
          <w:ilvl w:val="0"/>
          <w:numId w:val="1"/>
        </w:numPr>
        <w:suppressLineNumbers w:val="0"/>
        <w:kinsoku/>
        <w:wordWrap/>
        <w:overflowPunct/>
        <w:topLinePunct w:val="0"/>
        <w:autoSpaceDE/>
        <w:autoSpaceDN/>
        <w:bidi w:val="0"/>
        <w:adjustRightInd/>
        <w:snapToGrid w:val="0"/>
        <w:spacing w:beforeAutospacing="0" w:afterAutospacing="0" w:line="580" w:lineRule="atLeast"/>
        <w:ind w:firstLine="640" w:firstLineChars="200"/>
        <w:jc w:val="left"/>
        <w:textAlignment w:val="auto"/>
        <w:outlineLvl w:val="1"/>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服务主体与服务范围</w:t>
      </w:r>
    </w:p>
    <w:p w14:paraId="54D069FA">
      <w:pPr>
        <w:pStyle w:val="3"/>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580" w:lineRule="atLeast"/>
        <w:ind w:firstLine="643" w:firstLineChars="200"/>
        <w:jc w:val="left"/>
        <w:textAlignment w:val="auto"/>
        <w:outlineLvl w:val="1"/>
        <w:rPr>
          <w:rFonts w:hint="eastAsia" w:ascii="NEU-BZ-S92" w:hAnsi="NEU-BZ-S92" w:eastAsia="仿宋_GB2312" w:cs="仿宋_GB2312"/>
          <w:b/>
          <w:bCs/>
          <w:color w:val="auto"/>
          <w:kern w:val="0"/>
          <w:sz w:val="32"/>
          <w:szCs w:val="32"/>
          <w:lang w:val="en-US" w:eastAsia="zh-CN" w:bidi="ar-SA"/>
        </w:rPr>
      </w:pPr>
      <w:r>
        <w:rPr>
          <w:rFonts w:hint="eastAsia" w:ascii="NEU-BZ-S92" w:hAnsi="NEU-BZ-S92" w:eastAsia="仿宋_GB2312" w:cs="仿宋_GB2312"/>
          <w:b/>
          <w:bCs/>
          <w:color w:val="auto"/>
          <w:kern w:val="0"/>
          <w:sz w:val="32"/>
          <w:szCs w:val="32"/>
          <w:lang w:val="en-US" w:eastAsia="zh-CN" w:bidi="ar-SA"/>
        </w:rPr>
        <w:t>（一）服务主体</w:t>
      </w:r>
    </w:p>
    <w:p w14:paraId="41BFA69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80" w:lineRule="atLeast"/>
        <w:ind w:firstLine="640" w:firstLineChars="200"/>
        <w:jc w:val="both"/>
        <w:textAlignment w:val="auto"/>
        <w:rPr>
          <w:rFonts w:hint="default" w:ascii="NEU-BZ-S92" w:hAnsi="NEU-BZ-S92" w:eastAsia="仿宋_GB2312" w:cs="仿宋_GB2312"/>
          <w:b w:val="0"/>
          <w:bCs w:val="0"/>
          <w:color w:val="auto"/>
          <w:kern w:val="0"/>
          <w:sz w:val="32"/>
          <w:szCs w:val="32"/>
          <w:lang w:val="en-US" w:eastAsia="zh-CN" w:bidi="ar-SA"/>
        </w:rPr>
      </w:pPr>
      <w:r>
        <w:rPr>
          <w:rFonts w:hint="default" w:ascii="NEU-BZ-S92" w:hAnsi="NEU-BZ-S92" w:eastAsia="仿宋_GB2312" w:cs="仿宋_GB2312"/>
          <w:b w:val="0"/>
          <w:bCs w:val="0"/>
          <w:color w:val="auto"/>
          <w:kern w:val="0"/>
          <w:sz w:val="32"/>
          <w:szCs w:val="32"/>
          <w:lang w:val="en-US" w:eastAsia="zh-CN" w:bidi="ar-SA"/>
        </w:rPr>
        <w:t>服务面向东莞市机关企事业单位职工、产业园区职工、青年产业工人、技能人才，快递员、外卖配送员、网约车司机等新就业形态劳动者，同时覆盖观赛职工家属、电竞爱好者及市民群众。</w:t>
      </w:r>
    </w:p>
    <w:p w14:paraId="644272E8">
      <w:pPr>
        <w:pStyle w:val="3"/>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580" w:lineRule="atLeast"/>
        <w:ind w:firstLine="643" w:firstLineChars="200"/>
        <w:jc w:val="left"/>
        <w:textAlignment w:val="auto"/>
        <w:outlineLvl w:val="1"/>
        <w:rPr>
          <w:rFonts w:hint="eastAsia" w:ascii="NEU-BZ-S92" w:hAnsi="NEU-BZ-S92" w:eastAsia="仿宋_GB2312" w:cs="仿宋_GB2312"/>
          <w:b/>
          <w:bCs/>
          <w:color w:val="auto"/>
          <w:kern w:val="0"/>
          <w:sz w:val="32"/>
          <w:szCs w:val="32"/>
          <w:lang w:val="en-US" w:eastAsia="zh-CN" w:bidi="ar-SA"/>
        </w:rPr>
      </w:pPr>
      <w:r>
        <w:rPr>
          <w:rFonts w:hint="eastAsia" w:ascii="NEU-BZ-S92" w:hAnsi="NEU-BZ-S92" w:eastAsia="仿宋_GB2312" w:cs="仿宋_GB2312"/>
          <w:b/>
          <w:bCs/>
          <w:color w:val="auto"/>
          <w:kern w:val="0"/>
          <w:sz w:val="32"/>
          <w:szCs w:val="32"/>
          <w:lang w:val="en-US" w:eastAsia="zh-CN" w:bidi="ar-SA"/>
        </w:rPr>
        <w:t>（二）服务范围</w:t>
      </w:r>
    </w:p>
    <w:p w14:paraId="10B9402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80" w:lineRule="atLeast"/>
        <w:ind w:firstLine="640" w:firstLineChars="200"/>
        <w:jc w:val="both"/>
        <w:textAlignment w:val="auto"/>
        <w:rPr>
          <w:rFonts w:hint="default" w:ascii="NEU-BZ-S92" w:hAnsi="NEU-BZ-S92" w:eastAsia="仿宋_GB2312" w:cs="仿宋_GB2312"/>
          <w:b w:val="0"/>
          <w:bCs w:val="0"/>
          <w:color w:val="auto"/>
          <w:kern w:val="0"/>
          <w:sz w:val="32"/>
          <w:szCs w:val="32"/>
          <w:lang w:val="en-US" w:eastAsia="zh-CN" w:bidi="ar-SA"/>
        </w:rPr>
      </w:pPr>
      <w:r>
        <w:rPr>
          <w:rFonts w:hint="default" w:ascii="NEU-BZ-S92" w:hAnsi="NEU-BZ-S92" w:eastAsia="仿宋_GB2312" w:cs="仿宋_GB2312"/>
          <w:b w:val="0"/>
          <w:bCs w:val="0"/>
          <w:color w:val="auto"/>
          <w:kern w:val="0"/>
          <w:sz w:val="32"/>
          <w:szCs w:val="32"/>
          <w:lang w:val="en-US" w:eastAsia="zh-CN" w:bidi="ar-SA"/>
        </w:rPr>
        <w:t>承接单位负责本次职工电竞体验赛及配套交流赛事的全流程一体化服务，包含赛事整体方案细化、报名组织、线上选拔赛运营、线下总决赛落地执行、友谊交流赛组织、现场氛围搭建、工会主题服务落地、互动点位打造、赛事秩序保障、素材采集归档、全周期宣传推广、后勤应急保障等全部工作，全程配合甲方完成赛事审核、活动落地、成果验收、复盘总结及各类配套保障工作。</w:t>
      </w:r>
      <w:bookmarkStart w:id="0" w:name="_GoBack"/>
      <w:bookmarkEnd w:id="0"/>
    </w:p>
    <w:p w14:paraId="6B65A60E">
      <w:pPr>
        <w:pStyle w:val="2"/>
        <w:keepNext w:val="0"/>
        <w:keepLines w:val="0"/>
        <w:pageBreakBefore w:val="0"/>
        <w:widowControl/>
        <w:suppressLineNumbers w:val="0"/>
        <w:kinsoku/>
        <w:wordWrap/>
        <w:overflowPunct/>
        <w:topLinePunct w:val="0"/>
        <w:autoSpaceDE/>
        <w:autoSpaceDN/>
        <w:bidi w:val="0"/>
        <w:adjustRightInd/>
        <w:snapToGrid w:val="0"/>
        <w:spacing w:beforeAutospacing="0" w:afterAutospacing="0" w:line="580" w:lineRule="atLeast"/>
        <w:ind w:firstLine="640" w:firstLineChars="200"/>
        <w:jc w:val="left"/>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三、核心服务内容与执行要求</w:t>
      </w:r>
    </w:p>
    <w:p w14:paraId="0C7DAE4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80" w:lineRule="atLeast"/>
        <w:ind w:firstLine="640" w:firstLineChars="200"/>
        <w:jc w:val="both"/>
        <w:textAlignment w:val="auto"/>
        <w:rPr>
          <w:rFonts w:hint="default" w:ascii="NEU-BZ-S92" w:hAnsi="NEU-BZ-S92" w:eastAsia="仿宋_GB2312" w:cs="仿宋_GB2312"/>
          <w:b w:val="0"/>
          <w:bCs w:val="0"/>
          <w:color w:val="auto"/>
          <w:kern w:val="0"/>
          <w:sz w:val="32"/>
          <w:szCs w:val="32"/>
          <w:lang w:val="en-US" w:eastAsia="zh-CN" w:bidi="ar-SA"/>
        </w:rPr>
      </w:pPr>
      <w:r>
        <w:rPr>
          <w:rFonts w:hint="default" w:ascii="NEU-BZ-S92" w:hAnsi="NEU-BZ-S92" w:eastAsia="仿宋_GB2312" w:cs="仿宋_GB2312"/>
          <w:b w:val="0"/>
          <w:bCs w:val="0"/>
          <w:color w:val="auto"/>
          <w:kern w:val="0"/>
          <w:sz w:val="32"/>
          <w:szCs w:val="32"/>
          <w:lang w:val="en-US" w:eastAsia="zh-CN" w:bidi="ar-SA"/>
        </w:rPr>
        <w:t>承接单位须整体负责本次职工电竞赛事全流程专业化运营工作，包含赛事整体方案策划、规则制定、报名组织、线上选拔、线下赛事落地、现场氛围包装、工会主题场景打造、互动点位运营、现场服务保障、赛事纪律管控与成绩核定等全部赛事核心工作。需结合东莞职工群体特点，保障赛制公平规范、流程清晰有序，严格按照甲方要求完成赛事落地执行，妥善处置赛事各类突发及异常情况，打造合规、优质、正向的职工电竞文体活动，全面展现工会服务职工、凝聚职工的工作成效。</w:t>
      </w:r>
    </w:p>
    <w:p w14:paraId="23F0A7D0">
      <w:pPr>
        <w:pStyle w:val="2"/>
        <w:keepNext w:val="0"/>
        <w:keepLines w:val="0"/>
        <w:pageBreakBefore w:val="0"/>
        <w:widowControl/>
        <w:suppressLineNumbers w:val="0"/>
        <w:kinsoku/>
        <w:wordWrap/>
        <w:overflowPunct/>
        <w:topLinePunct w:val="0"/>
        <w:autoSpaceDE/>
        <w:autoSpaceDN/>
        <w:bidi w:val="0"/>
        <w:adjustRightInd/>
        <w:snapToGrid w:val="0"/>
        <w:spacing w:beforeAutospacing="0" w:afterAutospacing="0" w:line="580" w:lineRule="atLeast"/>
        <w:ind w:firstLine="640" w:firstLineChars="200"/>
        <w:jc w:val="left"/>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四、报价要求</w:t>
      </w:r>
    </w:p>
    <w:p w14:paraId="67F94E8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80" w:lineRule="atLeast"/>
        <w:ind w:firstLine="640" w:firstLineChars="200"/>
        <w:jc w:val="both"/>
        <w:textAlignment w:val="auto"/>
        <w:rPr>
          <w:rFonts w:hint="default" w:ascii="NEU-BZ-S92" w:hAnsi="NEU-BZ-S92" w:eastAsia="仿宋_GB2312" w:cs="仿宋_GB2312"/>
          <w:b w:val="0"/>
          <w:bCs w:val="0"/>
          <w:color w:val="auto"/>
          <w:kern w:val="0"/>
          <w:sz w:val="32"/>
          <w:szCs w:val="32"/>
          <w:lang w:val="en-US" w:eastAsia="zh-CN" w:bidi="ar-SA"/>
        </w:rPr>
      </w:pPr>
      <w:r>
        <w:rPr>
          <w:rFonts w:hint="default" w:ascii="NEU-BZ-S92" w:hAnsi="NEU-BZ-S92" w:eastAsia="仿宋_GB2312" w:cs="仿宋_GB2312"/>
          <w:b w:val="0"/>
          <w:bCs w:val="0"/>
          <w:color w:val="auto"/>
          <w:kern w:val="0"/>
          <w:sz w:val="32"/>
          <w:szCs w:val="32"/>
          <w:lang w:val="en-US" w:eastAsia="zh-CN" w:bidi="ar-SA"/>
        </w:rPr>
        <w:t>本项目以人民币为结算单位。承接商须对本项目全部服务内容进行整体报价，报价包含人工服务费、场地配套、物料制作、设备租赁、团队执行、宣传推广、素材制作、交通后勤、税费、利润等所有直接及间接费用，甲方无需额外支付其他费用。</w:t>
      </w:r>
    </w:p>
    <w:p w14:paraId="59786760">
      <w:pPr>
        <w:pStyle w:val="2"/>
        <w:keepNext w:val="0"/>
        <w:keepLines w:val="0"/>
        <w:pageBreakBefore w:val="0"/>
        <w:widowControl/>
        <w:suppressLineNumbers w:val="0"/>
        <w:kinsoku/>
        <w:wordWrap/>
        <w:overflowPunct/>
        <w:topLinePunct w:val="0"/>
        <w:autoSpaceDE/>
        <w:autoSpaceDN/>
        <w:bidi w:val="0"/>
        <w:adjustRightInd/>
        <w:snapToGrid w:val="0"/>
        <w:spacing w:beforeAutospacing="0" w:afterAutospacing="0" w:line="580" w:lineRule="atLeast"/>
        <w:ind w:firstLine="640" w:firstLineChars="200"/>
        <w:jc w:val="left"/>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五、服务期</w:t>
      </w:r>
    </w:p>
    <w:p w14:paraId="732794B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80" w:lineRule="atLeast"/>
        <w:ind w:firstLine="640" w:firstLineChars="200"/>
        <w:jc w:val="both"/>
        <w:textAlignment w:val="auto"/>
        <w:rPr>
          <w:rFonts w:hint="default" w:ascii="NEU-BZ-S92" w:hAnsi="NEU-BZ-S92" w:eastAsia="仿宋_GB2312" w:cs="仿宋_GB2312"/>
          <w:b w:val="0"/>
          <w:bCs w:val="0"/>
          <w:color w:val="auto"/>
          <w:kern w:val="0"/>
          <w:sz w:val="32"/>
          <w:szCs w:val="32"/>
          <w:lang w:val="en-US" w:eastAsia="zh-CN" w:bidi="ar-SA"/>
        </w:rPr>
      </w:pPr>
      <w:r>
        <w:rPr>
          <w:rFonts w:hint="default" w:ascii="NEU-BZ-S92" w:hAnsi="NEU-BZ-S92" w:eastAsia="仿宋_GB2312" w:cs="仿宋_GB2312"/>
          <w:b w:val="0"/>
          <w:bCs w:val="0"/>
          <w:color w:val="auto"/>
          <w:kern w:val="0"/>
          <w:sz w:val="32"/>
          <w:szCs w:val="32"/>
          <w:lang w:val="en-US" w:eastAsia="zh-CN" w:bidi="ar-SA"/>
        </w:rPr>
        <w:t>服务期：合同签订之日起至本次赛事全部服务内容完成、活动落地结束且验收合格为止。</w:t>
      </w:r>
    </w:p>
    <w:p w14:paraId="6E6D9E7D">
      <w:pPr>
        <w:pStyle w:val="2"/>
        <w:keepNext w:val="0"/>
        <w:keepLines w:val="0"/>
        <w:pageBreakBefore w:val="0"/>
        <w:widowControl/>
        <w:suppressLineNumbers w:val="0"/>
        <w:kinsoku/>
        <w:wordWrap/>
        <w:overflowPunct/>
        <w:topLinePunct w:val="0"/>
        <w:autoSpaceDE/>
        <w:autoSpaceDN/>
        <w:bidi w:val="0"/>
        <w:adjustRightInd/>
        <w:snapToGrid w:val="0"/>
        <w:spacing w:beforeAutospacing="0" w:afterAutospacing="0" w:line="580" w:lineRule="atLeast"/>
        <w:ind w:firstLine="640" w:firstLineChars="200"/>
        <w:jc w:val="left"/>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六、付款方式</w:t>
      </w:r>
    </w:p>
    <w:p w14:paraId="72F27CA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80" w:lineRule="atLeast"/>
        <w:ind w:firstLine="640" w:firstLineChars="200"/>
        <w:jc w:val="both"/>
        <w:textAlignment w:val="auto"/>
        <w:rPr>
          <w:rFonts w:hint="default" w:ascii="NEU-BZ-S92" w:hAnsi="NEU-BZ-S92" w:eastAsia="仿宋_GB2312" w:cs="仿宋_GB2312"/>
          <w:b w:val="0"/>
          <w:bCs w:val="0"/>
          <w:color w:val="auto"/>
          <w:kern w:val="0"/>
          <w:sz w:val="32"/>
          <w:szCs w:val="32"/>
          <w:lang w:val="en-US" w:eastAsia="zh-CN" w:bidi="ar-SA"/>
        </w:rPr>
      </w:pPr>
      <w:r>
        <w:rPr>
          <w:rFonts w:hint="default" w:ascii="NEU-BZ-S92" w:hAnsi="NEU-BZ-S92" w:eastAsia="仿宋_GB2312" w:cs="仿宋_GB2312"/>
          <w:b w:val="0"/>
          <w:bCs w:val="0"/>
          <w:color w:val="auto"/>
          <w:kern w:val="0"/>
          <w:sz w:val="32"/>
          <w:szCs w:val="32"/>
          <w:lang w:val="en-US" w:eastAsia="zh-CN" w:bidi="ar-SA"/>
        </w:rPr>
        <w:t>合同签订后，乙方完成本项目全部服务内容，经甲方验收合格后，中标人向采购人开具等额有效发票，采购人向中标人一次性付清全部服务费用。</w:t>
      </w:r>
    </w:p>
    <w:p w14:paraId="18D8DCF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80" w:lineRule="atLeast"/>
        <w:ind w:firstLine="643" w:firstLineChars="200"/>
        <w:jc w:val="both"/>
        <w:textAlignment w:val="auto"/>
        <w:rPr>
          <w:rFonts w:hint="eastAsia" w:ascii="NEU-BZ-S92" w:hAnsi="NEU-BZ-S92" w:eastAsia="仿宋_GB2312" w:cs="仿宋_GB2312"/>
          <w:b/>
          <w:bCs/>
          <w:color w:val="auto"/>
          <w:kern w:val="0"/>
          <w:sz w:val="32"/>
          <w:szCs w:val="32"/>
          <w:u w:val="single"/>
          <w:lang w:val="en-US" w:eastAsia="zh-CN" w:bidi="ar-SA"/>
        </w:rPr>
      </w:pPr>
      <w:r>
        <w:rPr>
          <w:rFonts w:hint="eastAsia" w:ascii="NEU-BZ-S92" w:hAnsi="NEU-BZ-S92" w:eastAsia="仿宋_GB2312" w:cs="仿宋_GB2312"/>
          <w:b/>
          <w:bCs/>
          <w:color w:val="auto"/>
          <w:kern w:val="0"/>
          <w:sz w:val="32"/>
          <w:szCs w:val="32"/>
          <w:u w:val="single"/>
          <w:lang w:val="en-US" w:eastAsia="zh-CN" w:bidi="ar-SA"/>
        </w:rPr>
        <w:t>注：★因不可抗力因素取消或调整活动，扣除已实际产生的执行费用后，剩余费用承接商须无条件退还采购人，由此产生的损失由承接商自行承担。</w:t>
      </w:r>
    </w:p>
    <w:p w14:paraId="0E52B2BC">
      <w:pPr>
        <w:keepNext w:val="0"/>
        <w:keepLines w:val="0"/>
        <w:pageBreakBefore w:val="0"/>
        <w:kinsoku/>
        <w:wordWrap/>
        <w:overflowPunct/>
        <w:topLinePunct w:val="0"/>
        <w:autoSpaceDE/>
        <w:autoSpaceDN/>
        <w:bidi w:val="0"/>
        <w:adjustRightInd/>
        <w:snapToGrid w:val="0"/>
        <w:spacing w:beforeAutospacing="0" w:afterAutospacing="0" w:line="580" w:lineRule="atLeast"/>
        <w:ind w:firstLine="422" w:firstLineChars="200"/>
        <w:textAlignment w:val="auto"/>
        <w:rPr>
          <w:b/>
          <w:bCs/>
          <w:u w:val="singl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NEU-BZ-S92">
    <w:altName w:val="宋体"/>
    <w:panose1 w:val="02020503000000020003"/>
    <w:charset w:val="86"/>
    <w:family w:val="roman"/>
    <w:pitch w:val="default"/>
    <w:sig w:usb0="00000000" w:usb1="00000000" w:usb2="05000016" w:usb3="00000000" w:csb0="003E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52DE90"/>
    <w:multiLevelType w:val="singleLevel"/>
    <w:tmpl w:val="2D52DE9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F35C01"/>
    <w:rsid w:val="34A36369"/>
    <w:rsid w:val="70F35C01"/>
    <w:rsid w:val="767A36CE"/>
    <w:rsid w:val="7F157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1227</Words>
  <Characters>1236</Characters>
  <Lines>0</Lines>
  <Paragraphs>0</Paragraphs>
  <TotalTime>2</TotalTime>
  <ScaleCrop>false</ScaleCrop>
  <LinksUpToDate>false</LinksUpToDate>
  <CharactersWithSpaces>1236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2026-08-04T04:46:00Z</dcterms:created>
  <dc:creator>赞啊赞</dc:creator>
  <cp:lastModifiedBy>蓝天</cp:lastModifiedBy>
  <dcterms:modified xsi:type="dcterms:W3CDTF">2026-08-05T08:43:52Z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6FF05681CC7044319D26F3BC2FAA00A9_11</vt:lpwstr>
  </property>
  <property fmtid="{D5CDD505-2E9C-101B-9397-08002B2CF9AE}" pid="4" name="KSOTemplateDocerSaveRecord">
    <vt:lpwstr>eyJoZGlkIjoiZGQ2ZDY0NjFkODliZjY4NTFhMjMxMGY3NjFhNzYyNTYiLCJ1c2VySWQiOiI3MjYwMjkzNzUifQ==</vt:lpwstr>
  </property>
</Properties>
</file>