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="0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Toc382563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2024东莞市总工会“我和祖国共奋进”诗歌创演活动成交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服务项目用户需求书</w:t>
      </w:r>
      <w:bookmarkEnd w:id="0"/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2"/>
          <w:szCs w:val="22"/>
          <w:lang w:val="en-US" w:eastAsia="zh-CN" w:bidi="ar-SA"/>
        </w:rPr>
        <w:t>一、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-SA"/>
        </w:rPr>
        <w:t>项目概况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  <w:t>为庆祝中华人民共和国成立75周年，激发广大职工的爱国热情，弘扬工人阶级的优秀品质，展现全市职工爱岗敬业的热情，拼搏向上的昂扬斗志、对祖国的赞美和对劳动的热爱，拟举办庆祝中华人民共和国成立75周年——2024东莞市总工会“我和祖国共奋进”诗歌创演活动。</w:t>
      </w:r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-SA"/>
        </w:rPr>
        <w:t>二、</w:t>
      </w:r>
      <w:r>
        <w:rPr>
          <w:rFonts w:hint="eastAsia" w:asciiTheme="minorEastAsia" w:hAnsiTheme="minorEastAsia" w:cstheme="minorEastAsia"/>
          <w:b/>
          <w:kern w:val="0"/>
          <w:sz w:val="24"/>
          <w:szCs w:val="24"/>
          <w:lang w:val="en-US" w:eastAsia="zh-CN" w:bidi="ar-SA"/>
        </w:rPr>
        <w:t>活动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 w:bidi="ar-SA"/>
        </w:rPr>
        <w:t>内容</w:t>
      </w:r>
    </w:p>
    <w:p>
      <w:pPr>
        <w:pStyle w:val="5"/>
        <w:widowControl/>
        <w:spacing w:beforeAutospacing="0" w:afterAutospacing="0" w:line="450" w:lineRule="atLeast"/>
        <w:ind w:firstLine="480" w:firstLineChars="20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时间：2024年7月中旬——9月中下旬</w:t>
      </w:r>
    </w:p>
    <w:p>
      <w:pPr>
        <w:pStyle w:val="5"/>
        <w:widowControl/>
        <w:spacing w:beforeAutospacing="0" w:afterAutospacing="0" w:line="450" w:lineRule="atLeast"/>
        <w:jc w:val="both"/>
        <w:rPr>
          <w:rFonts w:hint="default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  活动分为两部分，一是向全市职工征集现代诗歌，并邀请专业评委评审。二是获奖展演暨颁奖晚会。1、征稿时间：从即日起至8月15日截止，8月下旬公布获奖结果。2、展演暨颁奖晚会：9月中下旬。</w:t>
      </w:r>
    </w:p>
    <w:p>
      <w:pPr>
        <w:pStyle w:val="5"/>
        <w:widowControl/>
        <w:spacing w:beforeAutospacing="0" w:afterAutospacing="0" w:line="450" w:lineRule="atLeast"/>
        <w:ind w:firstLine="480" w:firstLineChars="200"/>
        <w:jc w:val="both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地点：东莞市工人文化宫。</w:t>
      </w:r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rFonts w:hint="default" w:asciiTheme="minorEastAsia" w:hAnsiTheme="minorEastAsia" w:eastAsiaTheme="minorEastAsia" w:cstheme="minorEastAsia"/>
          <w:b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u w:val="single"/>
        </w:rPr>
        <w:t>注：以上活动采购人有权根据实际情况进行调整</w:t>
      </w:r>
      <w:r>
        <w:rPr>
          <w:rFonts w:hint="eastAsia" w:asciiTheme="minorEastAsia" w:hAnsiTheme="minorEastAsia" w:cstheme="minorEastAsia"/>
          <w:b/>
          <w:kern w:val="0"/>
          <w:sz w:val="24"/>
          <w:szCs w:val="24"/>
          <w:u w:val="single"/>
          <w:lang w:eastAsia="zh-CN"/>
        </w:rPr>
        <w:t>，</w:t>
      </w:r>
      <w:r>
        <w:rPr>
          <w:rFonts w:hint="eastAsia" w:asciiTheme="minorEastAsia" w:hAnsiTheme="minorEastAsia" w:cstheme="minorEastAsia"/>
          <w:b/>
          <w:kern w:val="0"/>
          <w:sz w:val="24"/>
          <w:szCs w:val="24"/>
          <w:u w:val="single"/>
          <w:lang w:val="en-US" w:eastAsia="zh-CN"/>
        </w:rPr>
        <w:t>承接商不得擅自调整活动内容。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kern w:val="0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活动服务要求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活动讴歌社会主义国家的巨大成就，抒发各行各业职工对祖国的热爱及赞美之情。一是收集全市职工参与诗歌征集活动作品，二是聘请诗歌领域专家评选出优秀获奖作品（大赛设一等奖2名，二等奖3名，三等奖10名，优秀奖10名），三是组织获奖诗歌进行展演暨颁奖晚会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四、整体实施要求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要熟悉每个活动的流程和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颁奖晚会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的详细信息，对接好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活动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策划执行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摄影摄像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等工作。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. 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</w:t>
      </w:r>
      <w:bookmarkStart w:id="1" w:name="_GoBack"/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在项目实施过程中（包括但不限于活动执行过程中、舞台灯光音响的布置过程中等）发生意外事故，由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承担一切责任。</w:t>
      </w:r>
    </w:p>
    <w:bookmarkEnd w:id="1"/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★由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负责制作的每个活动现场背景及横幅须由采购人审核确认方可实施，设计成果应在演出</w:t>
      </w:r>
      <w:r>
        <w:rPr>
          <w:rFonts w:hint="eastAsia" w:asciiTheme="minorEastAsia" w:hAnsiTheme="minorEastAsia" w:cstheme="minorEastAsia"/>
          <w:b/>
          <w:sz w:val="24"/>
          <w:szCs w:val="24"/>
          <w:u w:val="single"/>
          <w:lang w:val="en-US" w:eastAsia="zh-CN"/>
        </w:rPr>
        <w:t>及活动开展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前 10天提交采购人，采购人有权提出意见，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应尊重并及时修改。设计成果著作权归采购人所有。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.★因不可控因素需要临时调整每个活动的执行时间，须征得采购人同意后方可调整；如相关活动准备已经就绪，因天气原因导致无法进行，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上报采购人征得同意后方可改期，事后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须向采购人提供本次活动改期的情况说明。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违反招标文件、合同的约定或在项目实施过程中存在处理不当或者遇到投诉情况，经采购人两次或以上书面要求整改，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拒不整改或不能按采购人的要求进行整改的，视为严重违约。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五、其他要求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 承接商须有独立团队，能够制定详细的项目推进计划，负责整体宣传工作。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 团队有固定的项目负责人和联系人，负责专项方案的策划、制定及组织实施，保证活动的顺利开展。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 确保高效推进各项工作，达到预期效果，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上旬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提供详细的整体策划方案，保证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7月初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开展宣传预热，稳步推进各项工作。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4. 关于本项目宣传方案、文案内容及媒体选择需形成方案，并由采购人审核，获得书面同意方可执行。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.承接商在服务过程中，必须在采购人的指导下，不断完善和细化工作方案以符合活动目标，并且需充分考虑经费预算、场地条件等方面。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.承接商须承诺不将该活动中的文字和图像用于任何盈利用途，确保整体宣传策划活动符合相关法律规定。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六、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报价要求</w:t>
      </w:r>
    </w:p>
    <w:p>
      <w:pPr>
        <w:spacing w:line="58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本项目以人民币为结算单位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须对采购范围的全部内容进行报价。报价包括人工、技术交通等服务费及所有直接、间接费，有关文件规定的利润、利息、税金等所有费用。</w:t>
      </w:r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、服务期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服务期：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合同签订之日起至服务完成且验收合格。</w:t>
      </w:r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、付款方式</w:t>
      </w:r>
    </w:p>
    <w:p>
      <w:pPr>
        <w:pStyle w:val="8"/>
        <w:tabs>
          <w:tab w:val="left" w:pos="426"/>
          <w:tab w:val="left" w:pos="567"/>
        </w:tabs>
        <w:spacing w:line="360" w:lineRule="auto"/>
        <w:ind w:firstLine="44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合同签订后，</w:t>
      </w:r>
      <w:r>
        <w:rPr>
          <w:rFonts w:hint="eastAsia" w:ascii="宋体" w:hAnsi="宋体"/>
          <w:sz w:val="24"/>
          <w:szCs w:val="24"/>
          <w:lang w:val="en-US" w:eastAsia="zh-CN"/>
        </w:rPr>
        <w:t>乙方</w:t>
      </w:r>
      <w:r>
        <w:rPr>
          <w:rFonts w:hint="eastAsia" w:ascii="宋体" w:hAnsi="宋体"/>
          <w:sz w:val="24"/>
          <w:szCs w:val="24"/>
        </w:rPr>
        <w:t>完成所有服务内容并验收合格后，中标人向采购人开具等额有效的发票，采购人向中标人</w:t>
      </w:r>
      <w:r>
        <w:rPr>
          <w:rFonts w:hint="eastAsia" w:ascii="宋体" w:hAnsi="宋体"/>
          <w:sz w:val="24"/>
          <w:szCs w:val="24"/>
          <w:lang w:val="en-US" w:eastAsia="zh-CN"/>
        </w:rPr>
        <w:t>一次性付清所完成场次费用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注：★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因不可抗力因素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取消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>活</w:t>
      </w:r>
      <w:r>
        <w:rPr>
          <w:rFonts w:hint="eastAsia" w:asciiTheme="minorEastAsia" w:hAnsiTheme="minorEastAsia" w:cstheme="minorEastAsia"/>
          <w:b/>
          <w:sz w:val="24"/>
          <w:szCs w:val="24"/>
          <w:u w:val="single"/>
          <w:lang w:val="en-US" w:eastAsia="zh-CN"/>
        </w:rPr>
        <w:t>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，扣除执行活动项目已使用的费用后，其余费用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须无条件退还采购人，由此造成的损失由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eastAsia="zh-CN"/>
        </w:rPr>
        <w:t>承接商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自行承担。</w:t>
      </w:r>
    </w:p>
    <w:p>
      <w:pPr>
        <w:pStyle w:val="8"/>
        <w:tabs>
          <w:tab w:val="left" w:pos="426"/>
          <w:tab w:val="left" w:pos="567"/>
        </w:tabs>
        <w:spacing w:line="58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九</w:t>
      </w:r>
      <w:r>
        <w:rPr>
          <w:rFonts w:hint="eastAsia"/>
          <w:b/>
          <w:sz w:val="24"/>
          <w:szCs w:val="24"/>
        </w:rPr>
        <w:t>、服务质量考核</w:t>
      </w:r>
    </w:p>
    <w:p>
      <w:pPr>
        <w:pStyle w:val="8"/>
        <w:spacing w:line="580" w:lineRule="exact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采购人对</w:t>
      </w:r>
      <w:r>
        <w:rPr>
          <w:rFonts w:hint="eastAsia" w:ascii="宋体" w:hAnsi="宋体"/>
          <w:sz w:val="24"/>
          <w:szCs w:val="24"/>
          <w:lang w:eastAsia="zh-CN"/>
        </w:rPr>
        <w:t>承接商</w:t>
      </w:r>
      <w:r>
        <w:rPr>
          <w:rFonts w:hint="eastAsia" w:ascii="宋体" w:hAnsi="宋体"/>
          <w:sz w:val="24"/>
          <w:szCs w:val="24"/>
        </w:rPr>
        <w:t>每个活动项目执行情况进行考核评分（评分细则详见《服务质量考核表》），并根据得分情况支付活动费用。</w:t>
      </w:r>
    </w:p>
    <w:tbl>
      <w:tblPr>
        <w:tblStyle w:val="6"/>
        <w:tblW w:w="625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3"/>
        <w:gridCol w:w="4077"/>
        <w:gridCol w:w="831"/>
        <w:gridCol w:w="2525"/>
        <w:gridCol w:w="673"/>
        <w:gridCol w:w="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38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540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考核内容</w:t>
            </w:r>
          </w:p>
        </w:tc>
        <w:tc>
          <w:tcPr>
            <w:tcW w:w="1909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考核要求</w:t>
            </w:r>
          </w:p>
        </w:tc>
        <w:tc>
          <w:tcPr>
            <w:tcW w:w="389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分值</w:t>
            </w:r>
          </w:p>
        </w:tc>
        <w:tc>
          <w:tcPr>
            <w:tcW w:w="1182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评分标准</w:t>
            </w:r>
          </w:p>
        </w:tc>
        <w:tc>
          <w:tcPr>
            <w:tcW w:w="315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评分</w:t>
            </w:r>
          </w:p>
        </w:tc>
        <w:tc>
          <w:tcPr>
            <w:tcW w:w="322" w:type="pc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1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每个活动实施情况</w:t>
            </w:r>
          </w:p>
        </w:tc>
        <w:tc>
          <w:tcPr>
            <w:tcW w:w="1909" w:type="pct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snapToGrid w:val="0"/>
                <w:kern w:val="0"/>
                <w:sz w:val="24"/>
                <w:szCs w:val="24"/>
              </w:rPr>
              <w:t>每个活动实施情况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具有项目内部管理流程，定期对项目的实施情况及实施质量进行内部监测，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每发现一次/项未完成扣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/>
                <w:spacing w:val="-4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项目内部管理制度、人员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安排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、活动具体流程及过程记录。组织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实施细则是否清晰、有条理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33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54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190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  <w:t>活动项目档案管理情况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具有成文的档案管理规定，各项要求均能在执行中落实，项目痕迹资料齐全规整、统一存放、分类清晰、记录完整，得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分；档案资料不全、管理不妥的，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扣5分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；没有档案资料的，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扣10分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/>
                <w:spacing w:val="-4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互动项目档案管理制度、档案资料及服务对象信息表。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包括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总项目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子项目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活动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资料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建档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3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项目团队管理</w:t>
            </w: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  <w:t>项目团队资质及专业支持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项目团队成员的资质及数量要求与方案一致，至少一名团队成员具有与项目服务相关专业经验，得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分。人员资质及质量不符合方案要求，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每发现一次/项未完成扣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pacing w:val="-4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查阅项目管理组织及其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资质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认证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项目管理体系及过程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团队成员名单及相关资质材料。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3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活动完成情况</w:t>
            </w: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  <w:t>每个活动指标达成</w:t>
            </w:r>
          </w:p>
          <w:p>
            <w:pPr>
              <w:spacing w:line="360" w:lineRule="auto"/>
              <w:jc w:val="left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按照活动计划及方案有序推进，活动指标完成量100%或以上的，得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分；80%至100%之间的，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扣5分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；60%至80%之间的，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扣10分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；低于60%的，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扣15分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根据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职工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及子女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参与度、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影响力制定项目实施进度表及量化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等相关材料。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9" w:type="pct"/>
            <w:vAlign w:val="center"/>
          </w:tcPr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  <w:t>活动创新性</w:t>
            </w:r>
          </w:p>
          <w:p>
            <w:pPr>
              <w:tabs>
                <w:tab w:val="left" w:pos="504"/>
              </w:tabs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cs="宋体" w:eastAsiaTheme="minorEastAsia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sz w:val="24"/>
                <w:szCs w:val="24"/>
              </w:rPr>
              <w:t>每动实施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理念、内容、性质的形式、手段、方法等具有创新性，得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分；项目形式、内容等单一，缺乏多样性和创新性，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每项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不达标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扣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-4"/>
                <w:sz w:val="24"/>
                <w:szCs w:val="24"/>
              </w:rPr>
              <w:t>分</w:t>
            </w:r>
          </w:p>
        </w:tc>
        <w:tc>
          <w:tcPr>
            <w:tcW w:w="1182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项目策划内容、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氛围营造、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方法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相关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执行方案，活动亮点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活动总结</w:t>
            </w:r>
          </w:p>
        </w:tc>
        <w:tc>
          <w:tcPr>
            <w:tcW w:w="3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</w:p>
        </w:tc>
      </w:tr>
    </w:tbl>
    <w:p>
      <w:pPr>
        <w:pStyle w:val="8"/>
        <w:spacing w:line="580" w:lineRule="exact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服务违约及处置</w:t>
      </w:r>
    </w:p>
    <w:p>
      <w:pPr>
        <w:pStyle w:val="8"/>
        <w:spacing w:line="580" w:lineRule="exact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项目按照百分制进行打分，考核分值90分或以上为合格，采购人全额支付活动费用；80分至89分的，则扣除活动费用的20%；70分至79分的，则扣除活动费用的30%；低于70分（不含）的为不合格，采购人有权拒绝支付活动费用。</w:t>
      </w:r>
    </w:p>
    <w:p>
      <w:pPr>
        <w:pStyle w:val="8"/>
        <w:spacing w:line="580" w:lineRule="exact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（2）服务期内，若用户需求中列明有须</w:t>
      </w:r>
      <w:r>
        <w:rPr>
          <w:rFonts w:hint="eastAsia" w:ascii="宋体" w:hAnsi="宋体"/>
          <w:sz w:val="24"/>
          <w:szCs w:val="24"/>
          <w:lang w:eastAsia="zh-CN"/>
        </w:rPr>
        <w:t>承接商</w:t>
      </w:r>
      <w:r>
        <w:rPr>
          <w:rFonts w:hint="eastAsia" w:ascii="宋体" w:hAnsi="宋体"/>
          <w:sz w:val="24"/>
          <w:szCs w:val="24"/>
        </w:rPr>
        <w:t>履行职责的任何一项没有按要求进行服务的，在采购人通知</w:t>
      </w:r>
      <w:r>
        <w:rPr>
          <w:rFonts w:hint="eastAsia" w:ascii="宋体" w:hAnsi="宋体"/>
          <w:sz w:val="24"/>
          <w:szCs w:val="24"/>
          <w:lang w:eastAsia="zh-CN"/>
        </w:rPr>
        <w:t>承接商</w:t>
      </w:r>
      <w:r>
        <w:rPr>
          <w:rFonts w:hint="eastAsia" w:ascii="宋体" w:hAnsi="宋体"/>
          <w:sz w:val="24"/>
          <w:szCs w:val="24"/>
        </w:rPr>
        <w:t>后，其仍未进行处理的，采购人有权拒绝支付活动费用。</w:t>
      </w:r>
    </w:p>
    <w:p>
      <w:pPr>
        <w:pStyle w:val="8"/>
        <w:spacing w:line="58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 w:cs="宋体"/>
          <w:sz w:val="24"/>
          <w:szCs w:val="24"/>
        </w:rPr>
        <w:t>服务期内，</w:t>
      </w:r>
      <w:r>
        <w:rPr>
          <w:rFonts w:hint="eastAsia" w:ascii="宋体" w:hAnsi="宋体" w:cs="宋体"/>
          <w:sz w:val="24"/>
          <w:szCs w:val="24"/>
          <w:lang w:eastAsia="zh-CN"/>
        </w:rPr>
        <w:t>承接商</w:t>
      </w:r>
      <w:r>
        <w:rPr>
          <w:rFonts w:hint="eastAsia" w:ascii="宋体" w:hAnsi="宋体" w:cs="宋体"/>
          <w:sz w:val="24"/>
          <w:szCs w:val="24"/>
        </w:rPr>
        <w:t>累计有2个以上活动项目考核不合格的，采购人有权单方面终止采购合同。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</w:p>
    <w:p>
      <w:pPr>
        <w:pStyle w:val="8"/>
        <w:spacing w:line="580" w:lineRule="exact"/>
        <w:ind w:firstLine="0" w:firstLineChars="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49651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ZDY0NjFkODliZjY4NTFhMjMxMGY3NjFhNzYyNTYifQ=="/>
    <w:docVar w:name="KSO_WPS_MARK_KEY" w:val="cff03381-809b-404f-9415-27b6fb0f001b"/>
  </w:docVars>
  <w:rsids>
    <w:rsidRoot w:val="5D974C91"/>
    <w:rsid w:val="00072412"/>
    <w:rsid w:val="000A2226"/>
    <w:rsid w:val="000A42EA"/>
    <w:rsid w:val="000C681C"/>
    <w:rsid w:val="000E3FD3"/>
    <w:rsid w:val="00106DDE"/>
    <w:rsid w:val="00106F3F"/>
    <w:rsid w:val="00114021"/>
    <w:rsid w:val="00187DA5"/>
    <w:rsid w:val="001B50AE"/>
    <w:rsid w:val="00207163"/>
    <w:rsid w:val="00231996"/>
    <w:rsid w:val="002645F1"/>
    <w:rsid w:val="0039666B"/>
    <w:rsid w:val="003B2FDF"/>
    <w:rsid w:val="003C4D54"/>
    <w:rsid w:val="0045507F"/>
    <w:rsid w:val="00547702"/>
    <w:rsid w:val="00551F2D"/>
    <w:rsid w:val="00700270"/>
    <w:rsid w:val="00784C39"/>
    <w:rsid w:val="00790604"/>
    <w:rsid w:val="007D5286"/>
    <w:rsid w:val="00815E94"/>
    <w:rsid w:val="00847894"/>
    <w:rsid w:val="00870170"/>
    <w:rsid w:val="008C550C"/>
    <w:rsid w:val="0093366E"/>
    <w:rsid w:val="009C6A51"/>
    <w:rsid w:val="009D7A4D"/>
    <w:rsid w:val="00A05541"/>
    <w:rsid w:val="00A1362F"/>
    <w:rsid w:val="00A14316"/>
    <w:rsid w:val="00A43396"/>
    <w:rsid w:val="00AB71CD"/>
    <w:rsid w:val="00B84F76"/>
    <w:rsid w:val="00C3382E"/>
    <w:rsid w:val="00C369E0"/>
    <w:rsid w:val="00C54B26"/>
    <w:rsid w:val="00C809C4"/>
    <w:rsid w:val="00D449DF"/>
    <w:rsid w:val="00D56832"/>
    <w:rsid w:val="00DB0A94"/>
    <w:rsid w:val="00DC21DA"/>
    <w:rsid w:val="00E72315"/>
    <w:rsid w:val="00EA73F7"/>
    <w:rsid w:val="00EB7595"/>
    <w:rsid w:val="00EC6CE7"/>
    <w:rsid w:val="00F10C63"/>
    <w:rsid w:val="00F2268C"/>
    <w:rsid w:val="00F633EB"/>
    <w:rsid w:val="00F758E8"/>
    <w:rsid w:val="00F9734F"/>
    <w:rsid w:val="00FB05F1"/>
    <w:rsid w:val="00FB22B9"/>
    <w:rsid w:val="02E72AC8"/>
    <w:rsid w:val="07D42289"/>
    <w:rsid w:val="08892439"/>
    <w:rsid w:val="08D721D4"/>
    <w:rsid w:val="0AC201CB"/>
    <w:rsid w:val="0AE67392"/>
    <w:rsid w:val="0D110C4F"/>
    <w:rsid w:val="0DDB432E"/>
    <w:rsid w:val="13E41410"/>
    <w:rsid w:val="14A34A74"/>
    <w:rsid w:val="19324427"/>
    <w:rsid w:val="1C1A0829"/>
    <w:rsid w:val="1C266022"/>
    <w:rsid w:val="1E661960"/>
    <w:rsid w:val="21D764D6"/>
    <w:rsid w:val="228A0E2F"/>
    <w:rsid w:val="2302150D"/>
    <w:rsid w:val="25ED3C47"/>
    <w:rsid w:val="295201CD"/>
    <w:rsid w:val="2B7E34FB"/>
    <w:rsid w:val="2C8B76DA"/>
    <w:rsid w:val="2D6B1B0F"/>
    <w:rsid w:val="2D901762"/>
    <w:rsid w:val="2E6C4331"/>
    <w:rsid w:val="2F0231CB"/>
    <w:rsid w:val="33641937"/>
    <w:rsid w:val="33FE3BD9"/>
    <w:rsid w:val="344F264A"/>
    <w:rsid w:val="362058DB"/>
    <w:rsid w:val="37B134A4"/>
    <w:rsid w:val="383B6E85"/>
    <w:rsid w:val="39755F3E"/>
    <w:rsid w:val="397B72CC"/>
    <w:rsid w:val="3D090948"/>
    <w:rsid w:val="40D97874"/>
    <w:rsid w:val="429B6F1B"/>
    <w:rsid w:val="42B20D6A"/>
    <w:rsid w:val="45D4223E"/>
    <w:rsid w:val="46B06807"/>
    <w:rsid w:val="4769018B"/>
    <w:rsid w:val="47727665"/>
    <w:rsid w:val="4A534079"/>
    <w:rsid w:val="4AFD7566"/>
    <w:rsid w:val="4B6127C6"/>
    <w:rsid w:val="4DBC4445"/>
    <w:rsid w:val="4E121B55"/>
    <w:rsid w:val="4F7429BD"/>
    <w:rsid w:val="505620F6"/>
    <w:rsid w:val="52A15225"/>
    <w:rsid w:val="53BF1253"/>
    <w:rsid w:val="54DE28D7"/>
    <w:rsid w:val="55C545E4"/>
    <w:rsid w:val="58F8594C"/>
    <w:rsid w:val="59FC1BF0"/>
    <w:rsid w:val="5D974C91"/>
    <w:rsid w:val="5F207D48"/>
    <w:rsid w:val="621A6DD3"/>
    <w:rsid w:val="63493E13"/>
    <w:rsid w:val="64F96E4E"/>
    <w:rsid w:val="69012A9A"/>
    <w:rsid w:val="69964A45"/>
    <w:rsid w:val="6A306A17"/>
    <w:rsid w:val="76285DB6"/>
    <w:rsid w:val="763C3364"/>
    <w:rsid w:val="767B3E8C"/>
    <w:rsid w:val="78811502"/>
    <w:rsid w:val="7A111DEA"/>
    <w:rsid w:val="7BB5E377"/>
    <w:rsid w:val="7FA51F7A"/>
    <w:rsid w:val="E7BF0D4E"/>
    <w:rsid w:val="FBEF4C53"/>
    <w:rsid w:val="FC9F9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link w:val="11"/>
    <w:qFormat/>
    <w:uiPriority w:val="0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列出段落 字符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2284</Words>
  <Characters>2347</Characters>
  <Lines>36</Lines>
  <Paragraphs>10</Paragraphs>
  <TotalTime>63</TotalTime>
  <ScaleCrop>false</ScaleCrop>
  <LinksUpToDate>false</LinksUpToDate>
  <CharactersWithSpaces>2359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2022-06-25T17:51:00Z</dcterms:created>
  <dc:creator>Ya！赞赞</dc:creator>
  <cp:lastModifiedBy>蓝天</cp:lastModifiedBy>
  <cp:lastPrinted>2024-05-12T15:59:00Z</cp:lastPrinted>
  <dcterms:modified xsi:type="dcterms:W3CDTF">2024-06-19T01:37:38Z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D8EF310ACA404369855DE0C28E26A3B4_13</vt:lpwstr>
  </property>
</Properties>
</file>