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="0" w:after="0" w:line="240" w:lineRule="auto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bookmarkStart w:id="0" w:name="_Toc3825630"/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庆祝“五一”国际劳动节文艺晚会活动成交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服务项目用户需求书</w:t>
      </w:r>
      <w:bookmarkEnd w:id="0"/>
    </w:p>
    <w:p>
      <w:pPr>
        <w:pStyle w:val="7"/>
        <w:tabs>
          <w:tab w:val="left" w:pos="426"/>
          <w:tab w:val="left" w:pos="567"/>
        </w:tabs>
        <w:spacing w:line="580" w:lineRule="exact"/>
        <w:ind w:firstLine="0" w:firstLineChars="0"/>
      </w:pPr>
      <w:r>
        <w:rPr>
          <w:rFonts w:hint="eastAsia"/>
          <w:b/>
          <w:sz w:val="22"/>
          <w:szCs w:val="22"/>
        </w:rPr>
        <w:t>一、项目概况</w:t>
      </w:r>
    </w:p>
    <w:p>
      <w:pPr>
        <w:pStyle w:val="7"/>
        <w:tabs>
          <w:tab w:val="left" w:pos="426"/>
          <w:tab w:val="left" w:pos="567"/>
        </w:tabs>
        <w:spacing w:line="580" w:lineRule="exact"/>
        <w:ind w:firstLine="440" w:firstLineChars="200"/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2024年是中华人民共和国成立75周年，是贯彻落实中国工会十八大精神的开局之年，也是广东工会十五大、东莞工会十七大召开之年，做好今年工会工作意义重大、责任重大。东莞市总工会将全力贯彻落实2024全国两会精神，以加快催生新质生产力，同时紧紧围绕市委高质量发展布局和上级工会工作部署，聚焦中国工会十八大提出的重点工作，找准工会工作与党的中心任务的结合点、切入点、着力点，鼓足干劲、精准发力，团结引领广大职工为东莞高质量发展建功立业。</w:t>
      </w:r>
    </w:p>
    <w:p>
      <w:pPr>
        <w:pStyle w:val="7"/>
        <w:tabs>
          <w:tab w:val="left" w:pos="426"/>
          <w:tab w:val="left" w:pos="567"/>
        </w:tabs>
        <w:spacing w:line="580" w:lineRule="exact"/>
        <w:ind w:firstLine="440" w:firstLineChars="200"/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因此，在连续多年举办的基础上，本年度“五一”国际劳动节文艺晚会以系列创新的工人节目，大力弘扬劳模精神、劳动精神、工匠精神。</w:t>
      </w:r>
    </w:p>
    <w:p>
      <w:pPr>
        <w:pStyle w:val="7"/>
        <w:tabs>
          <w:tab w:val="left" w:pos="426"/>
          <w:tab w:val="left" w:pos="567"/>
        </w:tabs>
        <w:spacing w:line="580" w:lineRule="exact"/>
        <w:ind w:firstLine="0" w:firstLine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二、</w:t>
      </w:r>
      <w:r>
        <w:rPr>
          <w:rFonts w:hint="eastAsia"/>
          <w:b/>
          <w:sz w:val="22"/>
          <w:szCs w:val="22"/>
          <w:lang w:val="en-US" w:eastAsia="zh-CN"/>
        </w:rPr>
        <w:t>晚会</w:t>
      </w:r>
      <w:r>
        <w:rPr>
          <w:rFonts w:hint="eastAsia"/>
          <w:b/>
          <w:sz w:val="22"/>
          <w:szCs w:val="22"/>
        </w:rPr>
        <w:t>内容</w:t>
      </w:r>
    </w:p>
    <w:p>
      <w:pPr>
        <w:pStyle w:val="7"/>
        <w:tabs>
          <w:tab w:val="left" w:pos="426"/>
          <w:tab w:val="left" w:pos="567"/>
        </w:tabs>
        <w:spacing w:line="580" w:lineRule="exact"/>
        <w:ind w:firstLine="440" w:firstLineChars="200"/>
        <w:rPr>
          <w:rFonts w:hint="eastAsia"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莞草之花，点燃劳动之火，照亮中国之梦。</w:t>
      </w:r>
    </w:p>
    <w:p>
      <w:pPr>
        <w:pStyle w:val="7"/>
        <w:tabs>
          <w:tab w:val="left" w:pos="426"/>
          <w:tab w:val="left" w:pos="567"/>
        </w:tabs>
        <w:spacing w:line="580" w:lineRule="exact"/>
        <w:ind w:firstLine="440" w:firstLineChars="200"/>
        <w:rPr>
          <w:rFonts w:hint="eastAsia" w:ascii="宋体" w:hAnsi="宋体" w:eastAsia="宋体" w:cs="Times New Roman"/>
          <w:kern w:val="0"/>
          <w:sz w:val="22"/>
          <w:szCs w:val="22"/>
          <w:lang w:eastAsia="zh-CN"/>
        </w:rPr>
      </w:pP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本场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文艺晚会，</w:t>
      </w: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计划以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音乐（剧）、舞蹈、曲艺、杂技等节目荟萃一台，</w:t>
      </w: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通过各种舞台艺术表现形式体现东莞市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职工风尚、东莞</w:t>
      </w: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特色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、节庆</w:t>
      </w: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氛围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，</w:t>
      </w: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打造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一台创新性沉浸式演出，发布</w:t>
      </w: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性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、表演性、齐头并进，三位一体，把劳模·劳动·工匠精神化为多彩多姿的文艺节目和精彩表演</w:t>
      </w:r>
      <w:r>
        <w:rPr>
          <w:rFonts w:hint="eastAsia" w:ascii="宋体" w:hAnsi="宋体" w:eastAsia="宋体" w:cs="Times New Roman"/>
          <w:kern w:val="0"/>
          <w:sz w:val="22"/>
          <w:szCs w:val="22"/>
          <w:lang w:eastAsia="zh-CN"/>
        </w:rPr>
        <w:t>。</w:t>
      </w:r>
    </w:p>
    <w:p>
      <w:pPr>
        <w:pStyle w:val="7"/>
        <w:tabs>
          <w:tab w:val="left" w:pos="426"/>
          <w:tab w:val="left" w:pos="567"/>
        </w:tabs>
        <w:spacing w:line="580" w:lineRule="exact"/>
        <w:ind w:firstLine="0" w:firstLineChars="0"/>
        <w:rPr>
          <w:rFonts w:ascii="宋体" w:hAnsi="宋体" w:eastAsia="宋体" w:cs="Times New Roman"/>
          <w:b/>
          <w:kern w:val="0"/>
          <w:sz w:val="22"/>
          <w:szCs w:val="22"/>
          <w:u w:val="single"/>
        </w:rPr>
      </w:pPr>
      <w:r>
        <w:rPr>
          <w:rFonts w:ascii="宋体" w:hAnsi="宋体" w:eastAsia="宋体" w:cs="Times New Roman"/>
          <w:b/>
          <w:kern w:val="0"/>
          <w:sz w:val="22"/>
          <w:szCs w:val="22"/>
          <w:u w:val="single"/>
        </w:rPr>
        <w:t>注</w:t>
      </w:r>
      <w:r>
        <w:rPr>
          <w:rFonts w:hint="eastAsia" w:ascii="宋体" w:hAnsi="宋体" w:eastAsia="宋体" w:cs="Times New Roman"/>
          <w:b/>
          <w:kern w:val="0"/>
          <w:sz w:val="22"/>
          <w:szCs w:val="22"/>
          <w:u w:val="single"/>
        </w:rPr>
        <w:t>：以上活动采购人有权根据实际情况进行调整。</w:t>
      </w:r>
    </w:p>
    <w:p>
      <w:pPr>
        <w:spacing w:line="580" w:lineRule="exact"/>
        <w:rPr>
          <w:rFonts w:ascii="宋体" w:hAnsi="宋体" w:eastAsia="宋体" w:cs="Times New Roman"/>
          <w:b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b/>
          <w:kern w:val="0"/>
          <w:sz w:val="22"/>
          <w:szCs w:val="22"/>
        </w:rPr>
        <w:t>三、服务内容</w:t>
      </w:r>
    </w:p>
    <w:p>
      <w:pPr>
        <w:spacing w:line="580" w:lineRule="exact"/>
        <w:rPr>
          <w:rFonts w:ascii="宋体" w:hAnsi="宋体" w:eastAsia="宋体" w:cs="Times New Roman"/>
          <w:color w:val="auto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b/>
          <w:bCs w:val="0"/>
          <w:color w:val="auto"/>
          <w:kern w:val="0"/>
          <w:sz w:val="22"/>
          <w:szCs w:val="22"/>
        </w:rPr>
        <w:t>（一）</w:t>
      </w:r>
      <w:r>
        <w:rPr>
          <w:rFonts w:hint="eastAsia" w:ascii="宋体" w:hAnsi="宋体" w:eastAsia="宋体" w:cs="Times New Roman"/>
          <w:b/>
          <w:color w:val="auto"/>
          <w:kern w:val="0"/>
          <w:sz w:val="22"/>
          <w:szCs w:val="22"/>
        </w:rPr>
        <w:t xml:space="preserve"> 活动内容要求</w:t>
      </w:r>
    </w:p>
    <w:p>
      <w:pPr>
        <w:spacing w:line="580" w:lineRule="exact"/>
        <w:ind w:firstLine="440"/>
        <w:rPr>
          <w:rFonts w:hint="eastAsia" w:ascii="宋体" w:hAnsi="宋体" w:eastAsia="宋体" w:cs="Times New Roman"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 w:bidi="ar-SA"/>
        </w:rPr>
        <w:t>主题节目、劳动故事、微视频、现场致敬（包括现场揭晓的项目和在地面已先期评选的项目）三位一体，共同构成本场晚会特色。同时，今年的新劳模在舞台揭晓（或已提前揭晓但首上舞台亮相），去年的同城劳模被请上台祝贺、感言、致敬，让“五一”大舞台劳模荟萃、英雄云集，真正成为东莞工人的点将台、加冕礼。</w:t>
      </w:r>
    </w:p>
    <w:p>
      <w:pPr>
        <w:spacing w:line="580" w:lineRule="exact"/>
        <w:rPr>
          <w:rFonts w:ascii="宋体" w:hAnsi="宋体" w:eastAsia="宋体" w:cs="Times New Roman"/>
          <w:b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b/>
          <w:kern w:val="0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Times New Roman"/>
          <w:b/>
          <w:kern w:val="0"/>
          <w:sz w:val="22"/>
          <w:szCs w:val="22"/>
          <w:lang w:val="en-US" w:eastAsia="zh-CN"/>
        </w:rPr>
        <w:t>二</w:t>
      </w:r>
      <w:r>
        <w:rPr>
          <w:rFonts w:hint="eastAsia" w:ascii="宋体" w:hAnsi="宋体" w:eastAsia="宋体" w:cs="Times New Roman"/>
          <w:b/>
          <w:kern w:val="0"/>
          <w:sz w:val="22"/>
          <w:szCs w:val="22"/>
          <w:lang w:eastAsia="zh-CN"/>
        </w:rPr>
        <w:t>）</w:t>
      </w:r>
      <w:r>
        <w:rPr>
          <w:rFonts w:ascii="宋体" w:hAnsi="宋体" w:eastAsia="宋体" w:cs="Times New Roman"/>
          <w:b/>
          <w:kern w:val="0"/>
          <w:sz w:val="22"/>
          <w:szCs w:val="22"/>
        </w:rPr>
        <w:t>活动服务要求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ascii="宋体" w:hAnsi="宋体" w:eastAsia="宋体" w:cs="Times New Roman"/>
          <w:kern w:val="0"/>
          <w:sz w:val="22"/>
          <w:szCs w:val="22"/>
        </w:rPr>
        <w:t>1</w:t>
      </w:r>
      <w:r>
        <w:rPr>
          <w:rFonts w:hint="eastAsia" w:ascii="宋体" w:hAnsi="宋体" w:eastAsia="宋体" w:cs="Times New Roman"/>
          <w:kern w:val="0"/>
          <w:sz w:val="22"/>
          <w:szCs w:val="22"/>
          <w:lang w:eastAsia="zh-CN"/>
        </w:rPr>
        <w:t>.</w:t>
      </w:r>
      <w:r>
        <w:rPr>
          <w:rFonts w:ascii="宋体" w:hAnsi="宋体" w:eastAsia="宋体" w:cs="Times New Roman"/>
          <w:kern w:val="0"/>
          <w:sz w:val="22"/>
          <w:szCs w:val="22"/>
        </w:rPr>
        <w:t>要求</w:t>
      </w:r>
      <w:r>
        <w:rPr>
          <w:rFonts w:hint="eastAsia" w:ascii="宋体" w:hAnsi="宋体" w:eastAsia="宋体" w:cs="Times New Roman"/>
          <w:kern w:val="0"/>
          <w:sz w:val="22"/>
          <w:szCs w:val="22"/>
          <w:lang w:eastAsia="zh-CN"/>
        </w:rPr>
        <w:t>承接商</w:t>
      </w:r>
      <w:r>
        <w:rPr>
          <w:rFonts w:ascii="宋体" w:hAnsi="宋体" w:eastAsia="宋体" w:cs="Times New Roman"/>
          <w:kern w:val="0"/>
          <w:sz w:val="22"/>
          <w:szCs w:val="22"/>
        </w:rPr>
        <w:t>根据活动内容完成</w:t>
      </w: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晚会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现场舞台、灯光、音响、LED、彩幕等</w:t>
      </w: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舞台相关设备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的</w:t>
      </w: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调试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 xml:space="preserve">及操作工作。 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2</w:t>
      </w:r>
      <w:r>
        <w:rPr>
          <w:rFonts w:ascii="宋体" w:hAnsi="宋体" w:eastAsia="宋体" w:cs="Times New Roman"/>
          <w:kern w:val="0"/>
          <w:sz w:val="22"/>
          <w:szCs w:val="22"/>
        </w:rPr>
        <w:t>.</w:t>
      </w:r>
      <w:r>
        <w:rPr>
          <w:rFonts w:hint="eastAsia" w:ascii="宋体" w:hAnsi="宋体" w:eastAsia="宋体" w:cs="Times New Roman"/>
          <w:kern w:val="0"/>
          <w:sz w:val="22"/>
          <w:szCs w:val="22"/>
          <w:lang w:eastAsia="zh-CN"/>
        </w:rPr>
        <w:t>承接商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配备齐全所需的所有舞台相关设备和人员等。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3.</w:t>
      </w:r>
      <w:r>
        <w:rPr>
          <w:rFonts w:hint="eastAsia" w:ascii="宋体" w:hAnsi="宋体" w:eastAsia="宋体" w:cs="Times New Roman"/>
          <w:kern w:val="0"/>
          <w:sz w:val="22"/>
          <w:szCs w:val="22"/>
          <w:lang w:eastAsia="zh-CN"/>
        </w:rPr>
        <w:t>承接商</w:t>
      </w:r>
      <w:r>
        <w:rPr>
          <w:rFonts w:ascii="宋体" w:hAnsi="宋体" w:eastAsia="宋体" w:cs="Times New Roman"/>
          <w:kern w:val="0"/>
          <w:sz w:val="22"/>
          <w:szCs w:val="22"/>
        </w:rPr>
        <w:t>须</w:t>
      </w: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策划好每场演出节目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，安排好每一次</w:t>
      </w: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演出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的具体事项和提供流程表，负责好全部活动现场流程的管控及执行工作等。</w:t>
      </w:r>
    </w:p>
    <w:p>
      <w:pPr>
        <w:spacing w:line="580" w:lineRule="exact"/>
        <w:rPr>
          <w:rFonts w:hint="default" w:ascii="宋体" w:hAnsi="宋体" w:eastAsia="宋体" w:cs="Times New Roman"/>
          <w:b w:val="0"/>
          <w:bCs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kern w:val="0"/>
          <w:sz w:val="22"/>
          <w:szCs w:val="22"/>
          <w:lang w:val="en-US" w:eastAsia="zh-CN"/>
        </w:rPr>
        <w:t>4.承接商需对活动进行高清录像，并做好剪辑工作（每场活动的全场视频及三个短视频）。</w:t>
      </w:r>
      <w:bookmarkStart w:id="1" w:name="_GoBack"/>
      <w:bookmarkEnd w:id="1"/>
    </w:p>
    <w:p>
      <w:pPr>
        <w:spacing w:line="580" w:lineRule="exact"/>
        <w:rPr>
          <w:rFonts w:ascii="宋体" w:hAnsi="宋体" w:eastAsia="宋体" w:cs="Times New Roman"/>
          <w:b/>
          <w:kern w:val="0"/>
          <w:sz w:val="22"/>
          <w:szCs w:val="22"/>
        </w:rPr>
      </w:pPr>
      <w:r>
        <w:rPr>
          <w:rFonts w:ascii="宋体" w:hAnsi="宋体" w:eastAsia="宋体" w:cs="Times New Roman"/>
          <w:b/>
          <w:kern w:val="0"/>
          <w:sz w:val="22"/>
          <w:szCs w:val="22"/>
        </w:rPr>
        <w:t>四</w:t>
      </w:r>
      <w:r>
        <w:rPr>
          <w:rFonts w:hint="eastAsia" w:ascii="宋体" w:hAnsi="宋体" w:eastAsia="宋体" w:cs="Times New Roman"/>
          <w:b/>
          <w:kern w:val="0"/>
          <w:sz w:val="22"/>
          <w:szCs w:val="22"/>
        </w:rPr>
        <w:t>、</w:t>
      </w:r>
      <w:r>
        <w:rPr>
          <w:rFonts w:ascii="宋体" w:hAnsi="宋体" w:eastAsia="宋体" w:cs="Times New Roman"/>
          <w:b/>
          <w:kern w:val="0"/>
          <w:sz w:val="22"/>
          <w:szCs w:val="22"/>
        </w:rPr>
        <w:t>整体实施要求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1</w:t>
      </w:r>
      <w:r>
        <w:rPr>
          <w:rFonts w:ascii="宋体" w:hAnsi="宋体" w:eastAsia="宋体" w:cs="Times New Roman"/>
          <w:kern w:val="0"/>
          <w:sz w:val="22"/>
          <w:szCs w:val="22"/>
        </w:rPr>
        <w:t>.</w:t>
      </w:r>
      <w:r>
        <w:rPr>
          <w:rFonts w:hint="eastAsia" w:ascii="宋体" w:hAnsi="宋体" w:eastAsia="宋体" w:cs="Times New Roman"/>
          <w:kern w:val="0"/>
          <w:sz w:val="22"/>
          <w:szCs w:val="22"/>
          <w:lang w:eastAsia="zh-CN"/>
        </w:rPr>
        <w:t>承接商</w:t>
      </w:r>
      <w:r>
        <w:rPr>
          <w:rFonts w:ascii="宋体" w:hAnsi="宋体" w:eastAsia="宋体" w:cs="Times New Roman"/>
          <w:kern w:val="0"/>
          <w:sz w:val="22"/>
          <w:szCs w:val="22"/>
        </w:rPr>
        <w:t>要熟悉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活动的流程和节目表演的详细信息，对接好演出的舞台舞美、</w:t>
      </w:r>
      <w:r>
        <w:rPr>
          <w:rFonts w:hint="eastAsia" w:ascii="宋体" w:hAnsi="宋体" w:eastAsia="宋体" w:cs="Times New Roman"/>
          <w:kern w:val="0"/>
          <w:sz w:val="22"/>
          <w:szCs w:val="22"/>
          <w:lang w:val="en-US" w:eastAsia="zh-CN"/>
        </w:rPr>
        <w:t>摄影摄像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等工作。</w:t>
      </w:r>
    </w:p>
    <w:p>
      <w:pPr>
        <w:spacing w:line="580" w:lineRule="exact"/>
        <w:rPr>
          <w:rFonts w:ascii="宋体" w:hAnsi="宋体"/>
          <w:b/>
          <w:sz w:val="22"/>
          <w:szCs w:val="22"/>
          <w:u w:val="single"/>
        </w:rPr>
      </w:pPr>
      <w:r>
        <w:rPr>
          <w:rFonts w:hint="eastAsia" w:ascii="宋体" w:hAnsi="宋体"/>
          <w:b/>
          <w:sz w:val="22"/>
          <w:szCs w:val="22"/>
          <w:u w:val="single"/>
          <w:lang w:val="en-US" w:eastAsia="zh-CN"/>
        </w:rPr>
        <w:t>2</w:t>
      </w:r>
      <w:r>
        <w:rPr>
          <w:rFonts w:ascii="宋体" w:hAnsi="宋体"/>
          <w:b/>
          <w:sz w:val="22"/>
          <w:szCs w:val="22"/>
          <w:u w:val="single"/>
        </w:rPr>
        <w:t>.</w:t>
      </w:r>
      <w:r>
        <w:rPr>
          <w:rFonts w:hint="eastAsia" w:ascii="宋体" w:hAnsi="宋体"/>
          <w:b/>
          <w:sz w:val="22"/>
          <w:szCs w:val="22"/>
          <w:u w:val="single"/>
        </w:rPr>
        <w:t xml:space="preserve"> ★</w:t>
      </w:r>
      <w:r>
        <w:rPr>
          <w:rFonts w:hint="eastAsia" w:ascii="宋体" w:hAnsi="宋体"/>
          <w:b/>
          <w:sz w:val="22"/>
          <w:szCs w:val="22"/>
          <w:u w:val="single"/>
          <w:lang w:eastAsia="zh-CN"/>
        </w:rPr>
        <w:t>承接商</w:t>
      </w:r>
      <w:r>
        <w:rPr>
          <w:rFonts w:hint="eastAsia" w:ascii="宋体" w:hAnsi="宋体"/>
          <w:b/>
          <w:sz w:val="22"/>
          <w:szCs w:val="22"/>
          <w:u w:val="single"/>
        </w:rPr>
        <w:t>在项目实施过程中（包括但不限于活动执行过程中、舞台灯光音响的布置过程中等）发生意外事故，由</w:t>
      </w:r>
      <w:r>
        <w:rPr>
          <w:rFonts w:hint="eastAsia" w:ascii="宋体" w:hAnsi="宋体"/>
          <w:b/>
          <w:sz w:val="22"/>
          <w:szCs w:val="22"/>
          <w:u w:val="single"/>
          <w:lang w:eastAsia="zh-CN"/>
        </w:rPr>
        <w:t>承接商</w:t>
      </w:r>
      <w:r>
        <w:rPr>
          <w:rFonts w:hint="eastAsia" w:ascii="宋体" w:hAnsi="宋体"/>
          <w:b/>
          <w:sz w:val="22"/>
          <w:szCs w:val="22"/>
          <w:u w:val="single"/>
        </w:rPr>
        <w:t>承担一切责任。</w:t>
      </w:r>
    </w:p>
    <w:p>
      <w:pPr>
        <w:spacing w:line="580" w:lineRule="exact"/>
        <w:rPr>
          <w:rFonts w:ascii="宋体" w:hAnsi="宋体"/>
          <w:b/>
          <w:sz w:val="22"/>
          <w:szCs w:val="22"/>
          <w:u w:val="single"/>
        </w:rPr>
      </w:pPr>
      <w:r>
        <w:rPr>
          <w:rFonts w:hint="eastAsia" w:ascii="宋体" w:hAnsi="宋体"/>
          <w:b/>
          <w:sz w:val="22"/>
          <w:szCs w:val="22"/>
          <w:u w:val="single"/>
          <w:lang w:val="en-US" w:eastAsia="zh-CN"/>
        </w:rPr>
        <w:t>3</w:t>
      </w:r>
      <w:r>
        <w:rPr>
          <w:rFonts w:ascii="宋体" w:hAnsi="宋体"/>
          <w:b/>
          <w:sz w:val="22"/>
          <w:szCs w:val="22"/>
          <w:u w:val="single"/>
        </w:rPr>
        <w:t>.</w:t>
      </w:r>
      <w:r>
        <w:rPr>
          <w:rFonts w:hint="eastAsia" w:ascii="宋体" w:hAnsi="宋体" w:eastAsia="宋体" w:cs="Times New Roman"/>
          <w:kern w:val="0"/>
          <w:sz w:val="22"/>
          <w:szCs w:val="22"/>
          <w:u w:val="single"/>
        </w:rPr>
        <w:t xml:space="preserve"> </w:t>
      </w:r>
      <w:r>
        <w:rPr>
          <w:rFonts w:hint="eastAsia" w:ascii="宋体" w:hAnsi="宋体"/>
          <w:b/>
          <w:sz w:val="22"/>
          <w:szCs w:val="22"/>
          <w:u w:val="single"/>
        </w:rPr>
        <w:t>★由</w:t>
      </w:r>
      <w:r>
        <w:rPr>
          <w:rFonts w:hint="eastAsia" w:ascii="宋体" w:hAnsi="宋体"/>
          <w:b/>
          <w:sz w:val="22"/>
          <w:szCs w:val="22"/>
          <w:u w:val="single"/>
          <w:lang w:eastAsia="zh-CN"/>
        </w:rPr>
        <w:t>承接商</w:t>
      </w:r>
      <w:r>
        <w:rPr>
          <w:rFonts w:hint="eastAsia" w:ascii="宋体" w:hAnsi="宋体"/>
          <w:b/>
          <w:sz w:val="22"/>
          <w:szCs w:val="22"/>
          <w:u w:val="single"/>
        </w:rPr>
        <w:t>负责制作的活动现场背景及横幅须由采购人审核确认方可实施，设计成果应在演出前 10天提交采购人，采购人有权提出意见，</w:t>
      </w:r>
      <w:r>
        <w:rPr>
          <w:rFonts w:hint="eastAsia" w:ascii="宋体" w:hAnsi="宋体"/>
          <w:b/>
          <w:sz w:val="22"/>
          <w:szCs w:val="22"/>
          <w:u w:val="single"/>
          <w:lang w:eastAsia="zh-CN"/>
        </w:rPr>
        <w:t>承接商</w:t>
      </w:r>
      <w:r>
        <w:rPr>
          <w:rFonts w:hint="eastAsia" w:ascii="宋体" w:hAnsi="宋体"/>
          <w:b/>
          <w:sz w:val="22"/>
          <w:szCs w:val="22"/>
          <w:u w:val="single"/>
        </w:rPr>
        <w:t>应尊重并及时修改。设计成果著作权归采购人所有。</w:t>
      </w:r>
    </w:p>
    <w:p>
      <w:pPr>
        <w:spacing w:line="580" w:lineRule="exact"/>
        <w:rPr>
          <w:rFonts w:ascii="宋体" w:hAnsi="宋体"/>
          <w:b/>
          <w:sz w:val="22"/>
          <w:szCs w:val="22"/>
          <w:u w:val="single"/>
        </w:rPr>
      </w:pPr>
      <w:r>
        <w:rPr>
          <w:rFonts w:hint="eastAsia" w:ascii="宋体" w:hAnsi="宋体"/>
          <w:b/>
          <w:sz w:val="22"/>
          <w:szCs w:val="22"/>
          <w:u w:val="single"/>
          <w:lang w:val="en-US" w:eastAsia="zh-CN"/>
        </w:rPr>
        <w:t>4</w:t>
      </w:r>
      <w:r>
        <w:rPr>
          <w:rFonts w:ascii="宋体" w:hAnsi="宋体"/>
          <w:b/>
          <w:sz w:val="22"/>
          <w:szCs w:val="22"/>
          <w:u w:val="single"/>
        </w:rPr>
        <w:t>.</w:t>
      </w:r>
      <w:r>
        <w:rPr>
          <w:rFonts w:hint="eastAsia" w:ascii="宋体" w:hAnsi="宋体"/>
          <w:b/>
          <w:sz w:val="22"/>
          <w:szCs w:val="22"/>
          <w:u w:val="single"/>
        </w:rPr>
        <w:t>★因不可控因素需要临时调整活动的执行时间，须征得采购人同意后方可调整；如相关活动准备已经就绪，因天气原因导致无法进行，</w:t>
      </w:r>
      <w:r>
        <w:rPr>
          <w:rFonts w:hint="eastAsia" w:ascii="宋体" w:hAnsi="宋体"/>
          <w:b/>
          <w:sz w:val="22"/>
          <w:szCs w:val="22"/>
          <w:u w:val="single"/>
          <w:lang w:eastAsia="zh-CN"/>
        </w:rPr>
        <w:t>承接商</w:t>
      </w:r>
      <w:r>
        <w:rPr>
          <w:rFonts w:hint="eastAsia" w:ascii="宋体" w:hAnsi="宋体"/>
          <w:b/>
          <w:sz w:val="22"/>
          <w:szCs w:val="22"/>
          <w:u w:val="single"/>
        </w:rPr>
        <w:t>上报采购人征得同意后方可改期，事后</w:t>
      </w:r>
      <w:r>
        <w:rPr>
          <w:rFonts w:hint="eastAsia" w:ascii="宋体" w:hAnsi="宋体"/>
          <w:b/>
          <w:sz w:val="22"/>
          <w:szCs w:val="22"/>
          <w:u w:val="single"/>
          <w:lang w:eastAsia="zh-CN"/>
        </w:rPr>
        <w:t>承接商</w:t>
      </w:r>
      <w:r>
        <w:rPr>
          <w:rFonts w:hint="eastAsia" w:ascii="宋体" w:hAnsi="宋体"/>
          <w:b/>
          <w:sz w:val="22"/>
          <w:szCs w:val="22"/>
          <w:u w:val="single"/>
        </w:rPr>
        <w:t>须向采购人提供本次活动改期的情况说明。</w:t>
      </w:r>
    </w:p>
    <w:p>
      <w:pPr>
        <w:spacing w:line="580" w:lineRule="exact"/>
        <w:rPr>
          <w:rFonts w:ascii="宋体" w:hAnsi="宋体"/>
          <w:b/>
          <w:sz w:val="22"/>
          <w:szCs w:val="22"/>
          <w:u w:val="single"/>
        </w:rPr>
      </w:pPr>
      <w:r>
        <w:rPr>
          <w:rFonts w:hint="eastAsia" w:ascii="宋体" w:hAnsi="宋体"/>
          <w:b/>
          <w:sz w:val="22"/>
          <w:szCs w:val="22"/>
          <w:u w:val="single"/>
          <w:lang w:val="en-US" w:eastAsia="zh-CN"/>
        </w:rPr>
        <w:t>5</w:t>
      </w:r>
      <w:r>
        <w:rPr>
          <w:rFonts w:ascii="宋体" w:hAnsi="宋体"/>
          <w:b/>
          <w:sz w:val="22"/>
          <w:szCs w:val="22"/>
          <w:u w:val="single"/>
        </w:rPr>
        <w:t>.</w:t>
      </w:r>
      <w:r>
        <w:rPr>
          <w:rFonts w:hint="eastAsia" w:ascii="宋体" w:hAnsi="宋体" w:eastAsia="宋体" w:cs="Times New Roman"/>
          <w:kern w:val="0"/>
          <w:sz w:val="22"/>
          <w:szCs w:val="22"/>
          <w:u w:val="single"/>
        </w:rPr>
        <w:t xml:space="preserve"> </w:t>
      </w:r>
      <w:r>
        <w:rPr>
          <w:rFonts w:hint="eastAsia" w:ascii="宋体" w:hAnsi="宋体"/>
          <w:b/>
          <w:sz w:val="22"/>
          <w:szCs w:val="22"/>
          <w:u w:val="single"/>
        </w:rPr>
        <w:t>★</w:t>
      </w:r>
      <w:r>
        <w:rPr>
          <w:rFonts w:hint="eastAsia" w:ascii="宋体" w:hAnsi="宋体"/>
          <w:b/>
          <w:sz w:val="22"/>
          <w:szCs w:val="22"/>
          <w:u w:val="single"/>
          <w:lang w:eastAsia="zh-CN"/>
        </w:rPr>
        <w:t>承接商</w:t>
      </w:r>
      <w:r>
        <w:rPr>
          <w:rFonts w:hint="eastAsia" w:ascii="宋体" w:hAnsi="宋体"/>
          <w:b/>
          <w:sz w:val="22"/>
          <w:szCs w:val="22"/>
          <w:u w:val="single"/>
        </w:rPr>
        <w:t>违反招标文件、合同的约定或在项目实施过程中存在处理不当或者遇到投诉情况，经采购人两次或以上书面要求整改，</w:t>
      </w:r>
      <w:r>
        <w:rPr>
          <w:rFonts w:hint="eastAsia" w:ascii="宋体" w:hAnsi="宋体"/>
          <w:b/>
          <w:sz w:val="22"/>
          <w:szCs w:val="22"/>
          <w:u w:val="single"/>
          <w:lang w:eastAsia="zh-CN"/>
        </w:rPr>
        <w:t>承接商</w:t>
      </w:r>
      <w:r>
        <w:rPr>
          <w:rFonts w:hint="eastAsia" w:ascii="宋体" w:hAnsi="宋体"/>
          <w:b/>
          <w:sz w:val="22"/>
          <w:szCs w:val="22"/>
          <w:u w:val="single"/>
        </w:rPr>
        <w:t>拒不整改或不能按采购人的要求进行整改的，视为严重违约。</w:t>
      </w:r>
    </w:p>
    <w:p>
      <w:pPr>
        <w:spacing w:line="580" w:lineRule="exact"/>
        <w:rPr>
          <w:rFonts w:ascii="宋体" w:hAnsi="宋体" w:eastAsia="宋体" w:cs="Times New Roman"/>
          <w:b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b/>
          <w:kern w:val="0"/>
          <w:sz w:val="22"/>
          <w:szCs w:val="22"/>
        </w:rPr>
        <w:t>五、其他要求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1</w:t>
      </w:r>
      <w:r>
        <w:rPr>
          <w:rFonts w:ascii="宋体" w:hAnsi="宋体" w:eastAsia="宋体" w:cs="Times New Roman"/>
          <w:kern w:val="0"/>
          <w:sz w:val="22"/>
          <w:szCs w:val="22"/>
        </w:rPr>
        <w:t>.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Times New Roman"/>
          <w:kern w:val="0"/>
          <w:sz w:val="22"/>
          <w:szCs w:val="22"/>
          <w:lang w:eastAsia="zh-CN"/>
        </w:rPr>
        <w:t>承接商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须有独立团队，能够制定详细的项目推进计划，负责整体宣传工作。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2</w:t>
      </w:r>
      <w:r>
        <w:rPr>
          <w:rFonts w:ascii="宋体" w:hAnsi="宋体" w:eastAsia="宋体" w:cs="Times New Roman"/>
          <w:kern w:val="0"/>
          <w:sz w:val="22"/>
          <w:szCs w:val="22"/>
        </w:rPr>
        <w:t>.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 xml:space="preserve"> 团队有固定的项目负责人和联系人，负责专项方案的策划、制定及组织实施，保证活动的顺利开展。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3</w:t>
      </w:r>
      <w:r>
        <w:rPr>
          <w:rFonts w:ascii="宋体" w:hAnsi="宋体" w:eastAsia="宋体" w:cs="Times New Roman"/>
          <w:kern w:val="0"/>
          <w:sz w:val="22"/>
          <w:szCs w:val="22"/>
        </w:rPr>
        <w:t>.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 xml:space="preserve"> 确保高效推进各项工作，达到预期效果，提供详细的整体策划方案，保证开展宣传预热，稳步推进各项工作。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4</w:t>
      </w:r>
      <w:r>
        <w:rPr>
          <w:rFonts w:ascii="宋体" w:hAnsi="宋体" w:eastAsia="宋体" w:cs="Times New Roman"/>
          <w:kern w:val="0"/>
          <w:sz w:val="22"/>
          <w:szCs w:val="22"/>
        </w:rPr>
        <w:t>.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 xml:space="preserve"> 关于本项目宣传方案、文案内容及媒体选择需形成方案，并由采购人审核，获得书面同意方可执行。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5</w:t>
      </w:r>
      <w:r>
        <w:rPr>
          <w:rFonts w:ascii="宋体" w:hAnsi="宋体" w:eastAsia="宋体" w:cs="Times New Roman"/>
          <w:kern w:val="0"/>
          <w:sz w:val="22"/>
          <w:szCs w:val="22"/>
        </w:rPr>
        <w:t>.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 xml:space="preserve"> 宣传推广活动符合东莞城市形象，能够较好地反映本次活动主题，将东莞市职工文化的知名度和影响力达到最大化。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6</w:t>
      </w:r>
      <w:r>
        <w:rPr>
          <w:rFonts w:ascii="宋体" w:hAnsi="宋体" w:eastAsia="宋体" w:cs="Times New Roman"/>
          <w:kern w:val="0"/>
          <w:sz w:val="22"/>
          <w:szCs w:val="22"/>
        </w:rPr>
        <w:t>.</w:t>
      </w:r>
      <w:r>
        <w:rPr>
          <w:rFonts w:hint="eastAsia" w:ascii="宋体" w:hAnsi="宋体" w:eastAsia="宋体" w:cs="Times New Roman"/>
          <w:kern w:val="0"/>
          <w:sz w:val="22"/>
          <w:szCs w:val="22"/>
          <w:lang w:eastAsia="zh-CN"/>
        </w:rPr>
        <w:t>承接商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在服务过程中，必须在采购人的指导下，不断完善和细化工作方案以符合活动目标，并且需充分考虑经费预算、场地条件等方面。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7</w:t>
      </w:r>
      <w:r>
        <w:rPr>
          <w:rFonts w:ascii="宋体" w:hAnsi="宋体" w:eastAsia="宋体" w:cs="Times New Roman"/>
          <w:kern w:val="0"/>
          <w:sz w:val="22"/>
          <w:szCs w:val="22"/>
        </w:rPr>
        <w:t>.</w:t>
      </w:r>
      <w:r>
        <w:rPr>
          <w:rFonts w:hint="eastAsia" w:ascii="宋体" w:hAnsi="宋体" w:eastAsia="宋体" w:cs="Times New Roman"/>
          <w:kern w:val="0"/>
          <w:sz w:val="22"/>
          <w:szCs w:val="22"/>
          <w:lang w:eastAsia="zh-CN"/>
        </w:rPr>
        <w:t>承接商</w:t>
      </w:r>
      <w:r>
        <w:rPr>
          <w:rFonts w:ascii="宋体" w:hAnsi="宋体" w:eastAsia="宋体" w:cs="Times New Roman"/>
          <w:kern w:val="0"/>
          <w:sz w:val="22"/>
          <w:szCs w:val="22"/>
        </w:rPr>
        <w:t>须</w:t>
      </w:r>
      <w:r>
        <w:rPr>
          <w:rFonts w:hint="eastAsia" w:ascii="宋体" w:hAnsi="宋体" w:eastAsia="宋体" w:cs="Times New Roman"/>
          <w:kern w:val="0"/>
          <w:sz w:val="22"/>
          <w:szCs w:val="22"/>
        </w:rPr>
        <w:t>承诺不将该活动中的文字和图像用于任何盈利用途，确保整体宣传策划活动符合相关法律规定。</w:t>
      </w:r>
    </w:p>
    <w:p>
      <w:pPr>
        <w:spacing w:line="580" w:lineRule="exact"/>
        <w:rPr>
          <w:rFonts w:ascii="宋体" w:hAnsi="宋体" w:eastAsia="宋体" w:cs="Times New Roman"/>
          <w:b/>
          <w:kern w:val="0"/>
          <w:sz w:val="22"/>
          <w:szCs w:val="22"/>
        </w:rPr>
      </w:pPr>
      <w:r>
        <w:rPr>
          <w:rFonts w:ascii="宋体" w:hAnsi="宋体" w:eastAsia="宋体" w:cs="Times New Roman"/>
          <w:b/>
          <w:kern w:val="0"/>
          <w:sz w:val="22"/>
          <w:szCs w:val="22"/>
        </w:rPr>
        <w:t>六</w:t>
      </w:r>
      <w:r>
        <w:rPr>
          <w:rFonts w:hint="eastAsia" w:ascii="宋体" w:hAnsi="宋体" w:eastAsia="宋体" w:cs="Times New Roman"/>
          <w:b/>
          <w:kern w:val="0"/>
          <w:sz w:val="22"/>
          <w:szCs w:val="22"/>
        </w:rPr>
        <w:t>、</w:t>
      </w:r>
      <w:r>
        <w:rPr>
          <w:rFonts w:hint="eastAsia"/>
          <w:b/>
          <w:sz w:val="22"/>
          <w:szCs w:val="22"/>
        </w:rPr>
        <w:t>报价要求</w:t>
      </w:r>
    </w:p>
    <w:p>
      <w:pPr>
        <w:spacing w:line="580" w:lineRule="exact"/>
        <w:ind w:firstLine="440" w:firstLineChars="200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本项目以人民币为结算单位，实行合同总价包干方式，</w:t>
      </w:r>
      <w:r>
        <w:rPr>
          <w:rFonts w:hint="eastAsia"/>
          <w:sz w:val="22"/>
          <w:szCs w:val="22"/>
          <w:lang w:eastAsia="zh-CN"/>
        </w:rPr>
        <w:t>承接商</w:t>
      </w:r>
      <w:r>
        <w:rPr>
          <w:rFonts w:hint="eastAsia"/>
          <w:sz w:val="22"/>
          <w:szCs w:val="22"/>
        </w:rPr>
        <w:t>须对采购范围的全部内容进行报价。报价包括人工、技术交通等服务费及所有直接、间接费，有关文件规定的利润、利息、税金等所有费用。</w:t>
      </w:r>
    </w:p>
    <w:p>
      <w:pPr>
        <w:pStyle w:val="7"/>
        <w:tabs>
          <w:tab w:val="left" w:pos="426"/>
          <w:tab w:val="left" w:pos="567"/>
        </w:tabs>
        <w:spacing w:line="580" w:lineRule="exact"/>
        <w:ind w:firstLine="0" w:firstLine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四、服务期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kern w:val="0"/>
          <w:sz w:val="22"/>
          <w:szCs w:val="22"/>
        </w:rPr>
        <w:t>服务期：</w:t>
      </w:r>
      <w:r>
        <w:rPr>
          <w:rFonts w:hint="eastAsia" w:ascii="宋体" w:hAnsi="宋体"/>
          <w:sz w:val="22"/>
          <w:szCs w:val="22"/>
        </w:rPr>
        <w:t>合同签订之日起至服务完成且验收合格。</w:t>
      </w:r>
    </w:p>
    <w:p>
      <w:pPr>
        <w:pStyle w:val="7"/>
        <w:tabs>
          <w:tab w:val="left" w:pos="426"/>
          <w:tab w:val="left" w:pos="567"/>
        </w:tabs>
        <w:spacing w:line="580" w:lineRule="exact"/>
        <w:ind w:firstLine="0" w:firstLine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五、付款方式</w:t>
      </w:r>
    </w:p>
    <w:p>
      <w:pPr>
        <w:pStyle w:val="7"/>
        <w:tabs>
          <w:tab w:val="left" w:pos="426"/>
          <w:tab w:val="left" w:pos="567"/>
        </w:tabs>
        <w:spacing w:line="360" w:lineRule="auto"/>
        <w:ind w:firstLine="44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合同签订后，</w:t>
      </w:r>
      <w:r>
        <w:rPr>
          <w:rFonts w:hint="eastAsia" w:ascii="宋体" w:hAnsi="宋体"/>
          <w:sz w:val="22"/>
          <w:szCs w:val="22"/>
          <w:lang w:val="en-US" w:eastAsia="zh-CN"/>
        </w:rPr>
        <w:t>采购人以月付款的方式进行支付，</w:t>
      </w:r>
      <w:r>
        <w:rPr>
          <w:rFonts w:hint="eastAsia" w:ascii="宋体" w:hAnsi="宋体"/>
          <w:sz w:val="22"/>
          <w:szCs w:val="22"/>
        </w:rPr>
        <w:t>在完成</w:t>
      </w:r>
      <w:r>
        <w:rPr>
          <w:rFonts w:hint="eastAsia" w:ascii="宋体" w:hAnsi="宋体"/>
          <w:sz w:val="22"/>
          <w:szCs w:val="22"/>
          <w:lang w:val="en-US" w:eastAsia="zh-CN"/>
        </w:rPr>
        <w:t>本月</w:t>
      </w:r>
      <w:r>
        <w:rPr>
          <w:rFonts w:hint="eastAsia" w:ascii="宋体" w:hAnsi="宋体"/>
          <w:sz w:val="22"/>
          <w:szCs w:val="22"/>
        </w:rPr>
        <w:t>所有服务内容并验收合格后，</w:t>
      </w:r>
      <w:r>
        <w:rPr>
          <w:rFonts w:hint="eastAsia" w:ascii="宋体" w:hAnsi="宋体"/>
          <w:sz w:val="22"/>
          <w:szCs w:val="22"/>
          <w:lang w:eastAsia="zh-CN"/>
        </w:rPr>
        <w:t>承接商</w:t>
      </w:r>
      <w:r>
        <w:rPr>
          <w:rFonts w:hint="eastAsia" w:ascii="宋体" w:hAnsi="宋体"/>
          <w:sz w:val="22"/>
          <w:szCs w:val="22"/>
        </w:rPr>
        <w:t>向采购人开具等额有效的发票，采购人向</w:t>
      </w:r>
      <w:r>
        <w:rPr>
          <w:rFonts w:hint="eastAsia" w:ascii="宋体" w:hAnsi="宋体"/>
          <w:sz w:val="22"/>
          <w:szCs w:val="22"/>
          <w:lang w:eastAsia="zh-CN"/>
        </w:rPr>
        <w:t>承接商</w:t>
      </w:r>
      <w:r>
        <w:rPr>
          <w:rFonts w:hint="eastAsia" w:ascii="宋体" w:hAnsi="宋体"/>
          <w:sz w:val="22"/>
          <w:szCs w:val="22"/>
          <w:lang w:val="en-US" w:eastAsia="zh-CN"/>
        </w:rPr>
        <w:t>一次性付清所完成场次费用</w:t>
      </w:r>
      <w:r>
        <w:rPr>
          <w:rFonts w:hint="eastAsia" w:ascii="宋体" w:hAnsi="宋体"/>
          <w:sz w:val="22"/>
          <w:szCs w:val="22"/>
        </w:rPr>
        <w:t>。</w:t>
      </w:r>
    </w:p>
    <w:p>
      <w:pPr>
        <w:spacing w:line="580" w:lineRule="exact"/>
        <w:rPr>
          <w:rFonts w:ascii="宋体" w:hAnsi="宋体" w:eastAsia="宋体" w:cs="Times New Roman"/>
          <w:kern w:val="0"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  <w:u w:val="single"/>
        </w:rPr>
        <w:t>注：★如因疫情原因，导致活动取消，扣除执行活动项目已使用的费用后，其余费用</w:t>
      </w:r>
      <w:r>
        <w:rPr>
          <w:rFonts w:hint="eastAsia" w:ascii="宋体" w:hAnsi="宋体"/>
          <w:b/>
          <w:sz w:val="22"/>
          <w:szCs w:val="22"/>
          <w:u w:val="single"/>
          <w:lang w:eastAsia="zh-CN"/>
        </w:rPr>
        <w:t>承接商</w:t>
      </w:r>
      <w:r>
        <w:rPr>
          <w:rFonts w:hint="eastAsia" w:ascii="宋体" w:hAnsi="宋体"/>
          <w:b/>
          <w:sz w:val="22"/>
          <w:szCs w:val="22"/>
          <w:u w:val="single"/>
        </w:rPr>
        <w:t>须无条件退还采购人，由此造成的损失由</w:t>
      </w:r>
      <w:r>
        <w:rPr>
          <w:rFonts w:hint="eastAsia" w:ascii="宋体" w:hAnsi="宋体"/>
          <w:b/>
          <w:sz w:val="22"/>
          <w:szCs w:val="22"/>
          <w:u w:val="single"/>
          <w:lang w:eastAsia="zh-CN"/>
        </w:rPr>
        <w:t>承接商</w:t>
      </w:r>
      <w:r>
        <w:rPr>
          <w:rFonts w:hint="eastAsia" w:ascii="宋体" w:hAnsi="宋体"/>
          <w:b/>
          <w:sz w:val="22"/>
          <w:szCs w:val="22"/>
          <w:u w:val="single"/>
        </w:rPr>
        <w:t>自行承担。</w:t>
      </w:r>
    </w:p>
    <w:p>
      <w:pPr>
        <w:pStyle w:val="7"/>
        <w:tabs>
          <w:tab w:val="left" w:pos="426"/>
          <w:tab w:val="left" w:pos="567"/>
        </w:tabs>
        <w:spacing w:line="580" w:lineRule="exact"/>
        <w:ind w:firstLine="0" w:firstLine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六、服务质量考核</w:t>
      </w:r>
    </w:p>
    <w:p>
      <w:pPr>
        <w:pStyle w:val="7"/>
        <w:spacing w:line="580" w:lineRule="exact"/>
        <w:ind w:firstLine="0" w:firstLineChars="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</w:t>
      </w:r>
      <w:r>
        <w:rPr>
          <w:rFonts w:ascii="宋体" w:hAnsi="宋体"/>
          <w:sz w:val="22"/>
          <w:szCs w:val="22"/>
        </w:rPr>
        <w:t>.</w:t>
      </w:r>
      <w:r>
        <w:rPr>
          <w:rFonts w:hint="eastAsia" w:ascii="宋体" w:hAnsi="宋体"/>
          <w:sz w:val="22"/>
          <w:szCs w:val="22"/>
        </w:rPr>
        <w:t>采购人对</w:t>
      </w:r>
      <w:r>
        <w:rPr>
          <w:rFonts w:hint="eastAsia" w:ascii="宋体" w:hAnsi="宋体"/>
          <w:sz w:val="22"/>
          <w:szCs w:val="22"/>
          <w:lang w:eastAsia="zh-CN"/>
        </w:rPr>
        <w:t>承接商</w:t>
      </w:r>
      <w:r>
        <w:rPr>
          <w:rFonts w:hint="eastAsia" w:ascii="宋体" w:hAnsi="宋体"/>
          <w:sz w:val="22"/>
          <w:szCs w:val="22"/>
        </w:rPr>
        <w:t>活动项目执行情况进行考核评分（评分细则详见《服务质量考核表》），并根据得分情况支付活动费用。</w:t>
      </w:r>
    </w:p>
    <w:tbl>
      <w:tblPr>
        <w:tblStyle w:val="5"/>
        <w:tblW w:w="625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53"/>
        <w:gridCol w:w="4077"/>
        <w:gridCol w:w="831"/>
        <w:gridCol w:w="2525"/>
        <w:gridCol w:w="673"/>
        <w:gridCol w:w="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338" w:type="pct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540" w:type="pct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4"/>
                <w:sz w:val="22"/>
                <w:szCs w:val="22"/>
              </w:rPr>
              <w:t>考核内容</w:t>
            </w:r>
          </w:p>
        </w:tc>
        <w:tc>
          <w:tcPr>
            <w:tcW w:w="1909" w:type="pct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4"/>
                <w:sz w:val="22"/>
                <w:szCs w:val="22"/>
              </w:rPr>
              <w:t>考核要求</w:t>
            </w:r>
          </w:p>
        </w:tc>
        <w:tc>
          <w:tcPr>
            <w:tcW w:w="389" w:type="pct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4"/>
                <w:sz w:val="22"/>
                <w:szCs w:val="22"/>
              </w:rPr>
              <w:t>分值</w:t>
            </w:r>
          </w:p>
        </w:tc>
        <w:tc>
          <w:tcPr>
            <w:tcW w:w="1182" w:type="pct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4"/>
                <w:sz w:val="22"/>
                <w:szCs w:val="22"/>
              </w:rPr>
              <w:t>评分标准</w:t>
            </w:r>
          </w:p>
        </w:tc>
        <w:tc>
          <w:tcPr>
            <w:tcW w:w="315" w:type="pct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4"/>
                <w:sz w:val="22"/>
                <w:szCs w:val="22"/>
              </w:rPr>
              <w:t>评分</w:t>
            </w:r>
          </w:p>
        </w:tc>
        <w:tc>
          <w:tcPr>
            <w:tcW w:w="322" w:type="pct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4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spacing w:val="-4"/>
                <w:sz w:val="22"/>
                <w:szCs w:val="22"/>
              </w:rPr>
              <w:t>1</w:t>
            </w:r>
          </w:p>
        </w:tc>
        <w:tc>
          <w:tcPr>
            <w:tcW w:w="54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spacing w:val="-4"/>
                <w:sz w:val="22"/>
                <w:szCs w:val="22"/>
              </w:rPr>
              <w:t>活动实施情况</w:t>
            </w:r>
          </w:p>
        </w:tc>
        <w:tc>
          <w:tcPr>
            <w:tcW w:w="1909" w:type="pct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napToGrid w:val="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snapToGrid w:val="0"/>
                <w:kern w:val="0"/>
                <w:sz w:val="22"/>
                <w:szCs w:val="22"/>
              </w:rPr>
              <w:t>活动实施情况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spacing w:val="-4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具有项目内部管理流程，定期对项目的实施情况及实施质量进行内部监测，</w:t>
            </w:r>
            <w:r>
              <w:rPr>
                <w:rFonts w:hint="eastAsia" w:ascii="宋体" w:hAnsi="宋体"/>
                <w:spacing w:val="-4"/>
                <w:sz w:val="22"/>
                <w:szCs w:val="22"/>
              </w:rPr>
              <w:t>每发现一次/项未完成扣</w:t>
            </w:r>
            <w:r>
              <w:rPr>
                <w:rFonts w:hint="eastAsia" w:ascii="宋体" w:hAnsi="宋体"/>
                <w:spacing w:val="-4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-4"/>
                <w:sz w:val="22"/>
                <w:szCs w:val="22"/>
              </w:rPr>
              <w:t>分</w:t>
            </w:r>
            <w:r>
              <w:rPr>
                <w:rFonts w:hint="eastAsia" w:ascii="宋体" w:hAnsi="宋体"/>
                <w:spacing w:val="-4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ascii="宋体" w:hAnsi="宋体"/>
                <w:spacing w:val="-4"/>
                <w:sz w:val="22"/>
                <w:szCs w:val="22"/>
              </w:rPr>
              <w:t>10</w:t>
            </w:r>
            <w:r>
              <w:rPr>
                <w:rFonts w:hint="eastAsia" w:ascii="宋体" w:hAnsi="宋体"/>
                <w:spacing w:val="-4"/>
                <w:sz w:val="22"/>
                <w:szCs w:val="22"/>
              </w:rPr>
              <w:t>分</w:t>
            </w:r>
          </w:p>
        </w:tc>
        <w:tc>
          <w:tcPr>
            <w:tcW w:w="118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项目内部管理制度、人员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安排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、活动具体流程及过程记录。组织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实施细则是否清晰、有条理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。</w:t>
            </w:r>
          </w:p>
        </w:tc>
        <w:tc>
          <w:tcPr>
            <w:tcW w:w="31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33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</w:p>
        </w:tc>
        <w:tc>
          <w:tcPr>
            <w:tcW w:w="54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</w:p>
        </w:tc>
        <w:tc>
          <w:tcPr>
            <w:tcW w:w="190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2"/>
                <w:szCs w:val="22"/>
              </w:rPr>
              <w:t>活动项目档案管理情况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具有成文的档案管理规定，各项要求均能在执行中落实，项目痕迹资料齐全规整、统一存放、分类清晰、记录完整，得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分；档案资料不全、管理不妥的，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  <w:lang w:val="en-US" w:eastAsia="zh-CN"/>
              </w:rPr>
              <w:t>扣5分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；没有档案资料的，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  <w:lang w:val="en-US" w:eastAsia="zh-CN"/>
              </w:rPr>
              <w:t>扣10分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。</w:t>
            </w:r>
          </w:p>
        </w:tc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ascii="宋体" w:hAnsi="宋体"/>
                <w:spacing w:val="-4"/>
                <w:sz w:val="22"/>
                <w:szCs w:val="22"/>
              </w:rPr>
              <w:t>10</w:t>
            </w:r>
            <w:r>
              <w:rPr>
                <w:rFonts w:hint="eastAsia" w:ascii="宋体" w:hAnsi="宋体"/>
                <w:spacing w:val="-4"/>
                <w:sz w:val="22"/>
                <w:szCs w:val="22"/>
              </w:rPr>
              <w:t>分</w:t>
            </w:r>
          </w:p>
        </w:tc>
        <w:tc>
          <w:tcPr>
            <w:tcW w:w="118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互动项目档案管理制度、档案资料及服务对象信息表。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包括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总项目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子项目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活动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资料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建档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。</w:t>
            </w:r>
          </w:p>
        </w:tc>
        <w:tc>
          <w:tcPr>
            <w:tcW w:w="31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33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spacing w:val="-4"/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spacing w:val="-4"/>
                <w:sz w:val="22"/>
                <w:szCs w:val="22"/>
              </w:rPr>
              <w:t>项目团队管理</w:t>
            </w:r>
          </w:p>
        </w:tc>
        <w:tc>
          <w:tcPr>
            <w:tcW w:w="1909" w:type="pct"/>
            <w:vAlign w:val="center"/>
          </w:tcPr>
          <w:p>
            <w:pPr>
              <w:tabs>
                <w:tab w:val="left" w:pos="504"/>
              </w:tabs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2"/>
                <w:szCs w:val="22"/>
              </w:rPr>
              <w:t>项目团队资质及专业支持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spacing w:val="-4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项目团队成员的资质及数量要求与方案一致，至少一名团队成员具有与项目服务相关专业经验，得</w:t>
            </w:r>
            <w:r>
              <w:rPr>
                <w:rFonts w:ascii="宋体" w:hAnsi="宋体" w:cs="宋体"/>
                <w:snapToGrid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分。人员资质及质量不符合方案要求，</w:t>
            </w:r>
            <w:r>
              <w:rPr>
                <w:rFonts w:hint="eastAsia" w:ascii="宋体" w:hAnsi="宋体"/>
                <w:spacing w:val="-4"/>
                <w:sz w:val="22"/>
                <w:szCs w:val="22"/>
              </w:rPr>
              <w:t>每发现一次/项未完成扣</w:t>
            </w:r>
            <w:r>
              <w:rPr>
                <w:rFonts w:hint="eastAsia" w:ascii="宋体" w:hAnsi="宋体"/>
                <w:spacing w:val="-4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-4"/>
                <w:sz w:val="22"/>
                <w:szCs w:val="22"/>
              </w:rPr>
              <w:t>分</w:t>
            </w:r>
            <w:r>
              <w:rPr>
                <w:rFonts w:hint="eastAsia" w:ascii="宋体" w:hAnsi="宋体"/>
                <w:spacing w:val="-4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spacing w:val="-4"/>
                <w:sz w:val="22"/>
                <w:szCs w:val="22"/>
                <w:lang w:val="en-US" w:eastAsia="zh-CN"/>
              </w:rPr>
              <w:t>2</w:t>
            </w:r>
            <w:r>
              <w:rPr>
                <w:rFonts w:ascii="宋体" w:hAnsi="宋体"/>
                <w:spacing w:val="-4"/>
                <w:sz w:val="22"/>
                <w:szCs w:val="22"/>
              </w:rPr>
              <w:t>0</w:t>
            </w:r>
            <w:r>
              <w:rPr>
                <w:rFonts w:hint="eastAsia" w:ascii="宋体" w:hAnsi="宋体"/>
                <w:spacing w:val="-4"/>
                <w:sz w:val="22"/>
                <w:szCs w:val="22"/>
              </w:rPr>
              <w:t>分</w:t>
            </w:r>
          </w:p>
        </w:tc>
        <w:tc>
          <w:tcPr>
            <w:tcW w:w="1182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查阅项目管理组织及其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资质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认证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项目管理体系及过程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团队成员名单及相关资质材料。</w:t>
            </w:r>
          </w:p>
        </w:tc>
        <w:tc>
          <w:tcPr>
            <w:tcW w:w="31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spacing w:val="-4"/>
                <w:sz w:val="22"/>
                <w:szCs w:val="22"/>
              </w:rPr>
              <w:t>3</w:t>
            </w:r>
          </w:p>
        </w:tc>
        <w:tc>
          <w:tcPr>
            <w:tcW w:w="54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活动完成情况</w:t>
            </w:r>
          </w:p>
        </w:tc>
        <w:tc>
          <w:tcPr>
            <w:tcW w:w="1909" w:type="pct"/>
            <w:vAlign w:val="center"/>
          </w:tcPr>
          <w:p>
            <w:pPr>
              <w:tabs>
                <w:tab w:val="left" w:pos="504"/>
              </w:tabs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2"/>
                <w:szCs w:val="22"/>
              </w:rPr>
              <w:t>活动指标达成</w:t>
            </w:r>
          </w:p>
          <w:p>
            <w:pPr>
              <w:spacing w:line="360" w:lineRule="auto"/>
              <w:jc w:val="left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按照活动计划及方案有序推进，活动指标完成量100%或以上的，得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分；80%至100%之间的，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  <w:lang w:val="en-US" w:eastAsia="zh-CN"/>
              </w:rPr>
              <w:t>扣5分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；60%至80%之间的，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  <w:lang w:val="en-US" w:eastAsia="zh-CN"/>
              </w:rPr>
              <w:t>扣10分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；低于60%的，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  <w:lang w:val="en-US" w:eastAsia="zh-CN"/>
              </w:rPr>
              <w:t>扣15分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。</w:t>
            </w:r>
          </w:p>
        </w:tc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spacing w:val="-4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宋体" w:hAnsi="宋体"/>
                <w:spacing w:val="-4"/>
                <w:sz w:val="22"/>
                <w:szCs w:val="22"/>
              </w:rPr>
              <w:t>分</w:t>
            </w:r>
          </w:p>
        </w:tc>
        <w:tc>
          <w:tcPr>
            <w:tcW w:w="118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根据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职工参与度、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影响力制定项目实施进度表及量化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指标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等相关材料。</w:t>
            </w:r>
          </w:p>
        </w:tc>
        <w:tc>
          <w:tcPr>
            <w:tcW w:w="31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</w:p>
        </w:tc>
        <w:tc>
          <w:tcPr>
            <w:tcW w:w="54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909" w:type="pct"/>
            <w:vAlign w:val="center"/>
          </w:tcPr>
          <w:p>
            <w:pPr>
              <w:tabs>
                <w:tab w:val="left" w:pos="504"/>
              </w:tabs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2"/>
                <w:szCs w:val="22"/>
              </w:rPr>
              <w:t>活动创新性</w:t>
            </w:r>
          </w:p>
          <w:p>
            <w:pPr>
              <w:tabs>
                <w:tab w:val="left" w:pos="504"/>
              </w:tabs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cs="宋体" w:eastAsiaTheme="minorEastAsia"/>
                <w:b/>
                <w:bCs/>
                <w:snapToGrid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sz w:val="22"/>
                <w:szCs w:val="22"/>
              </w:rPr>
              <w:t>活动实施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理念、内容、性质的形式、手段、方法等具有创新性，得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分；项目形式、内容等单一，缺乏多样性和创新性，</w:t>
            </w:r>
            <w:r>
              <w:rPr>
                <w:rFonts w:hint="eastAsia" w:ascii="宋体" w:hAnsi="宋体"/>
                <w:spacing w:val="-4"/>
                <w:sz w:val="22"/>
                <w:szCs w:val="22"/>
              </w:rPr>
              <w:t>每项</w:t>
            </w:r>
            <w:r>
              <w:rPr>
                <w:rFonts w:hint="eastAsia" w:ascii="宋体" w:hAnsi="宋体"/>
                <w:spacing w:val="-4"/>
                <w:sz w:val="22"/>
                <w:szCs w:val="22"/>
                <w:lang w:val="en-US" w:eastAsia="zh-CN"/>
              </w:rPr>
              <w:t>不达标</w:t>
            </w:r>
            <w:r>
              <w:rPr>
                <w:rFonts w:hint="eastAsia" w:ascii="宋体" w:hAnsi="宋体"/>
                <w:spacing w:val="-4"/>
                <w:sz w:val="22"/>
                <w:szCs w:val="22"/>
              </w:rPr>
              <w:t>扣</w:t>
            </w:r>
            <w:r>
              <w:rPr>
                <w:rFonts w:hint="eastAsia" w:ascii="宋体" w:hAnsi="宋体"/>
                <w:spacing w:val="-4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-4"/>
                <w:sz w:val="22"/>
                <w:szCs w:val="22"/>
              </w:rPr>
              <w:t>分</w:t>
            </w:r>
            <w:r>
              <w:rPr>
                <w:rFonts w:hint="eastAsia" w:ascii="宋体" w:hAnsi="宋体"/>
                <w:spacing w:val="-4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  <w:r>
              <w:rPr>
                <w:rFonts w:hint="eastAsia" w:ascii="宋体" w:hAnsi="宋体"/>
                <w:spacing w:val="-4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spacing w:val="-4"/>
                <w:sz w:val="22"/>
                <w:szCs w:val="22"/>
              </w:rPr>
              <w:t>分</w:t>
            </w:r>
          </w:p>
        </w:tc>
        <w:tc>
          <w:tcPr>
            <w:tcW w:w="1182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项目策划内容、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氛围营造、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方法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机制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相关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执行方案，活动亮点</w:t>
            </w:r>
            <w:r>
              <w:rPr>
                <w:rFonts w:ascii="宋体" w:hAnsi="宋体" w:cs="宋体"/>
                <w:snapToGrid w:val="0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snapToGrid w:val="0"/>
                <w:kern w:val="0"/>
                <w:sz w:val="22"/>
                <w:szCs w:val="22"/>
              </w:rPr>
              <w:t>活动总结</w:t>
            </w:r>
          </w:p>
        </w:tc>
        <w:tc>
          <w:tcPr>
            <w:tcW w:w="31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</w:p>
        </w:tc>
      </w:tr>
    </w:tbl>
    <w:p>
      <w:pPr>
        <w:pStyle w:val="7"/>
        <w:spacing w:line="580" w:lineRule="exact"/>
        <w:ind w:firstLine="0" w:firstLineChars="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2</w:t>
      </w:r>
      <w:r>
        <w:rPr>
          <w:rFonts w:ascii="宋体" w:hAnsi="宋体"/>
          <w:sz w:val="22"/>
          <w:szCs w:val="22"/>
        </w:rPr>
        <w:t>.</w:t>
      </w:r>
      <w:r>
        <w:rPr>
          <w:rFonts w:hint="eastAsia" w:ascii="宋体" w:hAnsi="宋体"/>
          <w:sz w:val="22"/>
          <w:szCs w:val="22"/>
        </w:rPr>
        <w:t>服务违约及处置</w:t>
      </w:r>
    </w:p>
    <w:p>
      <w:pPr>
        <w:pStyle w:val="7"/>
        <w:spacing w:line="580" w:lineRule="exact"/>
        <w:ind w:firstLine="0" w:firstLineChars="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（1）项目按照百分制进行打分，考核分值90分或以上为合格，采购人全额支付活动费用；80分至89分的，则扣除活动费用的20%；70分至79分的，则扣除活动费用的30%；低于70分（不含）的为不合格，采购人有权拒绝支付活动费用。</w:t>
      </w:r>
    </w:p>
    <w:p>
      <w:pPr>
        <w:pStyle w:val="7"/>
        <w:spacing w:line="580" w:lineRule="exact"/>
        <w:ind w:firstLine="0" w:firstLineChars="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（2）服务期内，若用户需求中列明有须</w:t>
      </w:r>
      <w:r>
        <w:rPr>
          <w:rFonts w:hint="eastAsia" w:ascii="宋体" w:hAnsi="宋体"/>
          <w:sz w:val="22"/>
          <w:szCs w:val="22"/>
          <w:lang w:eastAsia="zh-CN"/>
        </w:rPr>
        <w:t>承接商</w:t>
      </w:r>
      <w:r>
        <w:rPr>
          <w:rFonts w:hint="eastAsia" w:ascii="宋体" w:hAnsi="宋体"/>
          <w:sz w:val="22"/>
          <w:szCs w:val="22"/>
        </w:rPr>
        <w:t>履行职责的任何一项没有按要求进行服务的，在采购人通知</w:t>
      </w:r>
      <w:r>
        <w:rPr>
          <w:rFonts w:hint="eastAsia" w:ascii="宋体" w:hAnsi="宋体"/>
          <w:sz w:val="22"/>
          <w:szCs w:val="22"/>
          <w:lang w:eastAsia="zh-CN"/>
        </w:rPr>
        <w:t>承接商</w:t>
      </w:r>
      <w:r>
        <w:rPr>
          <w:rFonts w:hint="eastAsia" w:ascii="宋体" w:hAnsi="宋体"/>
          <w:sz w:val="22"/>
          <w:szCs w:val="22"/>
        </w:rPr>
        <w:t>后，其仍未进行处理的，采购人有权拒绝支付活动费用。</w:t>
      </w:r>
    </w:p>
    <w:p>
      <w:pPr>
        <w:pStyle w:val="7"/>
        <w:spacing w:line="580" w:lineRule="exact"/>
        <w:ind w:firstLine="0" w:firstLineChars="0"/>
        <w:rPr>
          <w:rFonts w:ascii="宋体" w:hAnsi="宋体" w:cs="宋体"/>
          <w:szCs w:val="21"/>
        </w:rPr>
      </w:pPr>
      <w:r>
        <w:rPr>
          <w:rFonts w:hint="eastAsia" w:ascii="宋体" w:hAnsi="宋体"/>
          <w:sz w:val="22"/>
          <w:szCs w:val="22"/>
        </w:rPr>
        <w:t>（3）</w:t>
      </w:r>
      <w:r>
        <w:rPr>
          <w:rFonts w:hint="eastAsia" w:ascii="宋体" w:hAnsi="宋体" w:cs="宋体"/>
          <w:szCs w:val="21"/>
        </w:rPr>
        <w:t>服务期内，</w:t>
      </w:r>
      <w:r>
        <w:rPr>
          <w:rFonts w:hint="eastAsia" w:ascii="宋体" w:hAnsi="宋体" w:cs="宋体"/>
          <w:szCs w:val="21"/>
          <w:lang w:eastAsia="zh-CN"/>
        </w:rPr>
        <w:t>承接商</w:t>
      </w:r>
      <w:r>
        <w:rPr>
          <w:rFonts w:hint="eastAsia" w:ascii="宋体" w:hAnsi="宋体" w:cs="宋体"/>
          <w:szCs w:val="21"/>
        </w:rPr>
        <w:t>累计有2个以上活动项目考核不合格的，采购人有权单方面终止采购合同。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49651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2ZDY0NjFkODliZjY4NTFhMjMxMGY3NjFhNzYyNTYifQ=="/>
    <w:docVar w:name="KSO_WPS_MARK_KEY" w:val="cff03381-809b-404f-9415-27b6fb0f001b"/>
  </w:docVars>
  <w:rsids>
    <w:rsidRoot w:val="5D974C91"/>
    <w:rsid w:val="00072412"/>
    <w:rsid w:val="000A2226"/>
    <w:rsid w:val="000A42EA"/>
    <w:rsid w:val="000C681C"/>
    <w:rsid w:val="000E3FD3"/>
    <w:rsid w:val="00106DDE"/>
    <w:rsid w:val="00106F3F"/>
    <w:rsid w:val="00114021"/>
    <w:rsid w:val="00187DA5"/>
    <w:rsid w:val="001B50AE"/>
    <w:rsid w:val="00207163"/>
    <w:rsid w:val="00231996"/>
    <w:rsid w:val="002645F1"/>
    <w:rsid w:val="0039666B"/>
    <w:rsid w:val="003B2FDF"/>
    <w:rsid w:val="003C4D54"/>
    <w:rsid w:val="0045507F"/>
    <w:rsid w:val="00547702"/>
    <w:rsid w:val="00551F2D"/>
    <w:rsid w:val="00700270"/>
    <w:rsid w:val="00784C39"/>
    <w:rsid w:val="00790604"/>
    <w:rsid w:val="007D5286"/>
    <w:rsid w:val="00815E94"/>
    <w:rsid w:val="00847894"/>
    <w:rsid w:val="00870170"/>
    <w:rsid w:val="008C550C"/>
    <w:rsid w:val="0093366E"/>
    <w:rsid w:val="009C6A51"/>
    <w:rsid w:val="009D7A4D"/>
    <w:rsid w:val="00A05541"/>
    <w:rsid w:val="00A1362F"/>
    <w:rsid w:val="00A14316"/>
    <w:rsid w:val="00A43396"/>
    <w:rsid w:val="00AB71CD"/>
    <w:rsid w:val="00B84F76"/>
    <w:rsid w:val="00C3382E"/>
    <w:rsid w:val="00C369E0"/>
    <w:rsid w:val="00C54B26"/>
    <w:rsid w:val="00C809C4"/>
    <w:rsid w:val="00D449DF"/>
    <w:rsid w:val="00D56832"/>
    <w:rsid w:val="00DB0A94"/>
    <w:rsid w:val="00DC21DA"/>
    <w:rsid w:val="00E72315"/>
    <w:rsid w:val="00EA73F7"/>
    <w:rsid w:val="00EB7595"/>
    <w:rsid w:val="00EC6CE7"/>
    <w:rsid w:val="00F10C63"/>
    <w:rsid w:val="00F2268C"/>
    <w:rsid w:val="00F633EB"/>
    <w:rsid w:val="00F758E8"/>
    <w:rsid w:val="00F9734F"/>
    <w:rsid w:val="00FB05F1"/>
    <w:rsid w:val="00FB22B9"/>
    <w:rsid w:val="02E72AC8"/>
    <w:rsid w:val="06FC3783"/>
    <w:rsid w:val="0AC201CB"/>
    <w:rsid w:val="0AE67392"/>
    <w:rsid w:val="0C1554FF"/>
    <w:rsid w:val="0DDB432E"/>
    <w:rsid w:val="124243FD"/>
    <w:rsid w:val="1746570F"/>
    <w:rsid w:val="1C1A0829"/>
    <w:rsid w:val="1C266022"/>
    <w:rsid w:val="21D764D6"/>
    <w:rsid w:val="228A0E2F"/>
    <w:rsid w:val="2302150D"/>
    <w:rsid w:val="295201CD"/>
    <w:rsid w:val="2C8B76DA"/>
    <w:rsid w:val="2E6C4331"/>
    <w:rsid w:val="2F0231CB"/>
    <w:rsid w:val="37B134A4"/>
    <w:rsid w:val="383B6E85"/>
    <w:rsid w:val="3A4E57F4"/>
    <w:rsid w:val="3D090948"/>
    <w:rsid w:val="40D97874"/>
    <w:rsid w:val="42B20D6A"/>
    <w:rsid w:val="4769018B"/>
    <w:rsid w:val="47727665"/>
    <w:rsid w:val="4A534079"/>
    <w:rsid w:val="4AFD7566"/>
    <w:rsid w:val="4DBC4445"/>
    <w:rsid w:val="4E121B55"/>
    <w:rsid w:val="4F7429BD"/>
    <w:rsid w:val="505620F6"/>
    <w:rsid w:val="52A15225"/>
    <w:rsid w:val="53BF1253"/>
    <w:rsid w:val="55C545E4"/>
    <w:rsid w:val="569C710A"/>
    <w:rsid w:val="58F8594C"/>
    <w:rsid w:val="59E827F2"/>
    <w:rsid w:val="59FC1BF0"/>
    <w:rsid w:val="5D974C91"/>
    <w:rsid w:val="60865D7A"/>
    <w:rsid w:val="621A6DD3"/>
    <w:rsid w:val="63493E13"/>
    <w:rsid w:val="64F96E4E"/>
    <w:rsid w:val="6A306A17"/>
    <w:rsid w:val="76285DB6"/>
    <w:rsid w:val="78811502"/>
    <w:rsid w:val="7BD04C7A"/>
    <w:rsid w:val="7E2F0E31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link w:val="10"/>
    <w:autoRedefine/>
    <w:qFormat/>
    <w:uiPriority w:val="0"/>
    <w:pPr>
      <w:ind w:firstLine="420" w:firstLineChars="200"/>
    </w:pPr>
  </w:style>
  <w:style w:type="character" w:customStyle="1" w:styleId="8">
    <w:name w:val="页眉 字符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列出段落 字符"/>
    <w:link w:val="7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2767</Words>
  <Characters>2838</Characters>
  <Lines>36</Lines>
  <Paragraphs>10</Paragraphs>
  <TotalTime>46</TotalTime>
  <ScaleCrop>false</ScaleCrop>
  <LinksUpToDate>false</LinksUpToDate>
  <CharactersWithSpaces>2852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2022-06-24T09:51:00Z</dcterms:created>
  <dc:creator>Ya！赞赞</dc:creator>
  <cp:lastModifiedBy>蓝天</cp:lastModifiedBy>
  <cp:lastPrinted>2022-06-28T09:25:00Z</cp:lastPrinted>
  <dcterms:modified xsi:type="dcterms:W3CDTF">2024-04-08T03:49:53Z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AC440D0996B4472EBA8E96CECDEE29DE_13</vt:lpwstr>
  </property>
</Properties>
</file>