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ascii="宋体" w:hAnsi="宋体"/>
          <w:b/>
          <w:bCs/>
          <w:sz w:val="28"/>
          <w:szCs w:val="28"/>
          <w:lang w:val="en-US" w:eastAsia="zh-CN"/>
        </w:rPr>
      </w:pPr>
      <w:r>
        <w:rPr>
          <w:rFonts w:hint="eastAsia" w:ascii="宋体" w:hAnsi="宋体"/>
          <w:b/>
          <w:bCs/>
          <w:sz w:val="28"/>
          <w:szCs w:val="28"/>
          <w:lang w:val="en-US" w:eastAsia="zh-CN"/>
        </w:rPr>
        <w:t>2024“心灵律动 活力东莞”东莞市职工心灵律动</w:t>
      </w:r>
    </w:p>
    <w:p>
      <w:pPr>
        <w:jc w:val="center"/>
        <w:rPr>
          <w:rFonts w:hint="default" w:eastAsiaTheme="minorEastAsia"/>
          <w:b/>
          <w:bCs/>
          <w:sz w:val="40"/>
          <w:szCs w:val="40"/>
          <w:lang w:val="en-US" w:eastAsia="zh-CN"/>
        </w:rPr>
      </w:pPr>
      <w:r>
        <w:rPr>
          <w:rFonts w:hint="eastAsia" w:ascii="宋体" w:hAnsi="宋体"/>
          <w:b/>
          <w:bCs/>
          <w:sz w:val="28"/>
          <w:szCs w:val="28"/>
          <w:lang w:val="en-US" w:eastAsia="zh-CN"/>
        </w:rPr>
        <w:t>沙龙活动成交</w:t>
      </w:r>
      <w:r>
        <w:rPr>
          <w:rFonts w:hint="eastAsia" w:ascii="宋体" w:hAnsi="宋体"/>
          <w:b/>
          <w:bCs/>
          <w:sz w:val="28"/>
          <w:szCs w:val="28"/>
        </w:rPr>
        <w:t>服务项目用户需求书</w:t>
      </w:r>
    </w:p>
    <w:p>
      <w:pPr>
        <w:spacing w:line="580" w:lineRule="exact"/>
        <w:ind w:firstLine="440" w:firstLineChars="200"/>
        <w:rPr>
          <w:rFonts w:hint="eastAsia" w:ascii="宋体" w:hAnsi="宋体" w:eastAsia="宋体" w:cs="Times New Roman"/>
          <w:kern w:val="0"/>
          <w:sz w:val="22"/>
          <w:szCs w:val="22"/>
        </w:rPr>
      </w:pPr>
      <w:r>
        <w:rPr>
          <w:rFonts w:hint="eastAsia" w:ascii="宋体" w:hAnsi="宋体" w:eastAsia="宋体" w:cs="Times New Roman"/>
          <w:kern w:val="0"/>
          <w:sz w:val="22"/>
          <w:szCs w:val="22"/>
          <w:lang w:eastAsia="zh-CN"/>
        </w:rPr>
        <w:t>为深入宣传贯彻落实党的二十大精神，凝聚职工力量建功新征程，不断满足职工多样化需求，努力打造服务职工新模式，缓解职工在工作、家庭中的心理压力，加强人文关怀和心理疏导，把人文关怀融入职工思想政治工作中，引导职工化解思想困惑，克服消极情绪，让职工享有更加全面、更丰富的精神文化生活，东莞市总工会</w:t>
      </w:r>
      <w:r>
        <w:rPr>
          <w:rFonts w:hint="eastAsia" w:ascii="宋体" w:hAnsi="宋体" w:eastAsia="宋体" w:cs="Times New Roman"/>
          <w:kern w:val="0"/>
          <w:sz w:val="22"/>
          <w:szCs w:val="22"/>
        </w:rPr>
        <w:t>结合</w:t>
      </w:r>
      <w:r>
        <w:rPr>
          <w:rFonts w:hint="eastAsia" w:ascii="宋体" w:hAnsi="宋体" w:eastAsia="宋体" w:cs="Times New Roman"/>
          <w:kern w:val="0"/>
          <w:sz w:val="22"/>
          <w:szCs w:val="22"/>
          <w:lang w:eastAsia="zh-CN"/>
        </w:rPr>
        <w:t>职工需求</w:t>
      </w:r>
      <w:r>
        <w:rPr>
          <w:rFonts w:hint="eastAsia" w:ascii="宋体" w:hAnsi="宋体" w:eastAsia="宋体" w:cs="Times New Roman"/>
          <w:kern w:val="0"/>
          <w:sz w:val="22"/>
          <w:szCs w:val="22"/>
        </w:rPr>
        <w:t>，开展</w:t>
      </w:r>
      <w:r>
        <w:rPr>
          <w:rFonts w:hint="eastAsia" w:ascii="宋体" w:hAnsi="宋体" w:eastAsia="宋体" w:cs="Times New Roman"/>
          <w:kern w:val="0"/>
          <w:sz w:val="22"/>
          <w:szCs w:val="22"/>
          <w:lang w:val="en-US" w:eastAsia="zh-CN"/>
        </w:rPr>
        <w:t>2024“心灵律动 活力东莞”东莞市职工心灵律动活动，</w:t>
      </w:r>
      <w:r>
        <w:rPr>
          <w:rFonts w:hint="eastAsia" w:ascii="宋体" w:hAnsi="宋体" w:eastAsia="宋体" w:cs="Times New Roman"/>
          <w:kern w:val="0"/>
          <w:sz w:val="22"/>
          <w:szCs w:val="22"/>
        </w:rPr>
        <w:t>方案如下：</w:t>
      </w:r>
    </w:p>
    <w:p>
      <w:pPr>
        <w:spacing w:line="580" w:lineRule="exact"/>
        <w:rPr>
          <w:rFonts w:hint="eastAsia" w:ascii="宋体" w:hAnsi="宋体" w:eastAsia="宋体" w:cs="Times New Roman"/>
          <w:b/>
          <w:kern w:val="0"/>
          <w:sz w:val="22"/>
          <w:szCs w:val="22"/>
          <w:lang w:val="en-US" w:eastAsia="zh-CN"/>
        </w:rPr>
      </w:pPr>
      <w:r>
        <w:rPr>
          <w:rFonts w:hint="eastAsia" w:ascii="宋体" w:hAnsi="宋体" w:eastAsia="宋体" w:cs="Times New Roman"/>
          <w:b/>
          <w:kern w:val="0"/>
          <w:sz w:val="22"/>
          <w:szCs w:val="22"/>
          <w:lang w:val="en-US" w:eastAsia="zh-CN"/>
        </w:rPr>
        <w:t>一、活动概况</w:t>
      </w:r>
    </w:p>
    <w:p>
      <w:pPr>
        <w:numPr>
          <w:ilvl w:val="0"/>
          <w:numId w:val="0"/>
        </w:numPr>
        <w:spacing w:line="580" w:lineRule="exact"/>
        <w:ind w:firstLine="442" w:firstLineChars="200"/>
        <w:rPr>
          <w:rFonts w:hint="eastAsia" w:ascii="宋体" w:hAnsi="宋体" w:eastAsia="宋体" w:cs="Times New Roman"/>
          <w:b/>
          <w:bCs/>
          <w:kern w:val="0"/>
          <w:sz w:val="22"/>
          <w:szCs w:val="22"/>
          <w:lang w:val="en-US" w:eastAsia="zh-CN"/>
        </w:rPr>
      </w:pPr>
      <w:r>
        <w:rPr>
          <w:rFonts w:hint="eastAsia" w:ascii="宋体" w:hAnsi="宋体" w:eastAsia="宋体" w:cs="Times New Roman"/>
          <w:b/>
          <w:bCs/>
          <w:kern w:val="0"/>
          <w:sz w:val="22"/>
          <w:szCs w:val="22"/>
          <w:lang w:val="en-US" w:eastAsia="zh-CN"/>
        </w:rPr>
        <w:t>1.活动目的</w:t>
      </w:r>
    </w:p>
    <w:p>
      <w:pPr>
        <w:numPr>
          <w:ilvl w:val="0"/>
          <w:numId w:val="0"/>
        </w:numPr>
        <w:spacing w:line="580" w:lineRule="exact"/>
        <w:ind w:firstLine="440" w:firstLineChars="200"/>
        <w:rPr>
          <w:rFonts w:hint="eastAsia" w:ascii="宋体" w:hAnsi="宋体" w:eastAsia="宋体" w:cs="Times New Roman"/>
          <w:kern w:val="0"/>
          <w:sz w:val="22"/>
          <w:szCs w:val="22"/>
        </w:rPr>
      </w:pPr>
      <w:r>
        <w:rPr>
          <w:rFonts w:hint="eastAsia" w:ascii="宋体" w:hAnsi="宋体" w:eastAsia="宋体" w:cs="Times New Roman"/>
          <w:kern w:val="0"/>
          <w:sz w:val="22"/>
          <w:szCs w:val="22"/>
        </w:rPr>
        <w:t>通过</w:t>
      </w:r>
      <w:r>
        <w:rPr>
          <w:rFonts w:hint="eastAsia" w:ascii="宋体" w:hAnsi="宋体" w:eastAsia="宋体" w:cs="Times New Roman"/>
          <w:kern w:val="0"/>
          <w:sz w:val="22"/>
          <w:szCs w:val="22"/>
          <w:lang w:eastAsia="zh-CN"/>
        </w:rPr>
        <w:t>开展舞动沙龙心理健康活动，疏导职工心理压力与不良情绪，</w:t>
      </w:r>
      <w:r>
        <w:rPr>
          <w:rFonts w:hint="eastAsia" w:ascii="宋体" w:hAnsi="宋体" w:eastAsia="宋体" w:cs="Times New Roman"/>
          <w:kern w:val="0"/>
          <w:sz w:val="22"/>
          <w:szCs w:val="22"/>
        </w:rPr>
        <w:t>提高广大职工身心健康水平，在广大职工中营造朝气蓬勃、团结奋进、健康和谐的生活氛围，不断增强职工的幸福感、获得感和安全感，激励广大职工奋进新征程、建功新时代，在推动</w:t>
      </w:r>
      <w:r>
        <w:rPr>
          <w:rFonts w:hint="eastAsia" w:ascii="宋体" w:hAnsi="宋体" w:eastAsia="宋体" w:cs="Times New Roman"/>
          <w:kern w:val="0"/>
          <w:sz w:val="22"/>
          <w:szCs w:val="22"/>
          <w:lang w:eastAsia="zh-CN"/>
        </w:rPr>
        <w:t>全市</w:t>
      </w:r>
      <w:r>
        <w:rPr>
          <w:rFonts w:hint="eastAsia" w:ascii="宋体" w:hAnsi="宋体" w:eastAsia="宋体" w:cs="Times New Roman"/>
          <w:kern w:val="0"/>
          <w:sz w:val="22"/>
          <w:szCs w:val="22"/>
        </w:rPr>
        <w:t>经济社会高质量发展中作出积极贡献。</w:t>
      </w:r>
    </w:p>
    <w:p>
      <w:pPr>
        <w:spacing w:line="580" w:lineRule="exact"/>
        <w:ind w:firstLine="442" w:firstLineChars="200"/>
        <w:rPr>
          <w:rFonts w:hint="eastAsia" w:ascii="宋体" w:hAnsi="宋体" w:eastAsia="宋体" w:cs="Times New Roman"/>
          <w:b/>
          <w:bCs/>
          <w:kern w:val="0"/>
          <w:sz w:val="22"/>
          <w:szCs w:val="22"/>
        </w:rPr>
      </w:pPr>
      <w:r>
        <w:rPr>
          <w:rFonts w:hint="eastAsia" w:ascii="宋体" w:hAnsi="宋体" w:eastAsia="宋体" w:cs="Times New Roman"/>
          <w:b/>
          <w:bCs/>
          <w:kern w:val="0"/>
          <w:sz w:val="22"/>
          <w:szCs w:val="22"/>
          <w:lang w:val="en-US" w:eastAsia="zh-CN"/>
        </w:rPr>
        <w:t>2.活动</w:t>
      </w:r>
      <w:r>
        <w:rPr>
          <w:rFonts w:hint="eastAsia" w:ascii="宋体" w:hAnsi="宋体" w:eastAsia="宋体" w:cs="Times New Roman"/>
          <w:b/>
          <w:bCs/>
          <w:kern w:val="0"/>
          <w:sz w:val="22"/>
          <w:szCs w:val="22"/>
        </w:rPr>
        <w:t>内容</w:t>
      </w:r>
    </w:p>
    <w:p>
      <w:pPr>
        <w:spacing w:line="580" w:lineRule="exact"/>
        <w:ind w:firstLine="440" w:firstLineChars="200"/>
        <w:rPr>
          <w:rFonts w:hint="eastAsia" w:ascii="宋体" w:hAnsi="宋体" w:eastAsia="宋体" w:cs="Times New Roman"/>
          <w:kern w:val="0"/>
          <w:sz w:val="22"/>
          <w:szCs w:val="22"/>
          <w:lang w:eastAsia="zh-CN"/>
        </w:rPr>
      </w:pPr>
      <w:r>
        <w:rPr>
          <w:rFonts w:hint="eastAsia" w:ascii="宋体" w:hAnsi="宋体" w:eastAsia="宋体" w:cs="Times New Roman"/>
          <w:kern w:val="0"/>
          <w:sz w:val="22"/>
          <w:szCs w:val="22"/>
          <w:lang w:eastAsia="zh-CN"/>
        </w:rPr>
        <w:t>聘请专业教师现场教学，通过启发职工身体、精神等感观体验，结合音乐韵律节奏、呼吸形体、冥想体验、意向绘画等方式释放内心焦虑、抑郁情绪，提高自我觉察力，找到身心整合方法。</w:t>
      </w:r>
    </w:p>
    <w:p>
      <w:pPr>
        <w:spacing w:line="580" w:lineRule="exact"/>
        <w:ind w:firstLine="442" w:firstLineChars="200"/>
        <w:rPr>
          <w:rFonts w:hint="eastAsia" w:ascii="宋体" w:hAnsi="宋体" w:eastAsia="宋体" w:cs="Times New Roman"/>
          <w:b/>
          <w:bCs/>
          <w:kern w:val="0"/>
          <w:sz w:val="22"/>
          <w:szCs w:val="22"/>
        </w:rPr>
      </w:pPr>
      <w:r>
        <w:rPr>
          <w:rFonts w:hint="eastAsia" w:ascii="宋体" w:hAnsi="宋体" w:eastAsia="宋体" w:cs="Times New Roman"/>
          <w:b/>
          <w:bCs/>
          <w:kern w:val="0"/>
          <w:sz w:val="22"/>
          <w:szCs w:val="22"/>
          <w:lang w:val="en-US" w:eastAsia="zh-CN"/>
        </w:rPr>
        <w:t>3.活动</w:t>
      </w:r>
      <w:r>
        <w:rPr>
          <w:rFonts w:hint="eastAsia" w:ascii="宋体" w:hAnsi="宋体" w:eastAsia="宋体" w:cs="Times New Roman"/>
          <w:b/>
          <w:bCs/>
          <w:kern w:val="0"/>
          <w:sz w:val="22"/>
          <w:szCs w:val="22"/>
          <w:lang w:eastAsia="zh-CN"/>
        </w:rPr>
        <w:t>时间</w:t>
      </w:r>
      <w:r>
        <w:rPr>
          <w:rFonts w:hint="eastAsia" w:ascii="宋体" w:hAnsi="宋体" w:eastAsia="宋体" w:cs="Times New Roman"/>
          <w:b/>
          <w:bCs/>
          <w:kern w:val="0"/>
          <w:sz w:val="22"/>
          <w:szCs w:val="22"/>
          <w:lang w:val="en-US" w:eastAsia="zh-CN"/>
        </w:rPr>
        <w:t>及</w:t>
      </w:r>
      <w:r>
        <w:rPr>
          <w:rFonts w:hint="eastAsia" w:ascii="宋体" w:hAnsi="宋体" w:eastAsia="宋体" w:cs="Times New Roman"/>
          <w:b/>
          <w:bCs/>
          <w:kern w:val="0"/>
          <w:sz w:val="22"/>
          <w:szCs w:val="22"/>
          <w:lang w:eastAsia="zh-CN"/>
        </w:rPr>
        <w:t>地点</w:t>
      </w:r>
    </w:p>
    <w:p>
      <w:pPr>
        <w:spacing w:line="580" w:lineRule="exact"/>
        <w:rPr>
          <w:rFonts w:hint="eastAsia" w:ascii="宋体" w:hAnsi="宋体" w:eastAsia="宋体" w:cs="Times New Roman"/>
          <w:kern w:val="0"/>
          <w:sz w:val="22"/>
          <w:szCs w:val="22"/>
        </w:rPr>
      </w:pPr>
      <w:r>
        <w:rPr>
          <w:rFonts w:hint="eastAsia" w:ascii="宋体" w:hAnsi="宋体" w:eastAsia="宋体" w:cs="Times New Roman"/>
          <w:kern w:val="0"/>
          <w:sz w:val="22"/>
          <w:szCs w:val="22"/>
        </w:rPr>
        <w:t>时间：202</w:t>
      </w:r>
      <w:r>
        <w:rPr>
          <w:rFonts w:hint="eastAsia" w:ascii="宋体" w:hAnsi="宋体" w:eastAsia="宋体" w:cs="Times New Roman"/>
          <w:kern w:val="0"/>
          <w:sz w:val="22"/>
          <w:szCs w:val="22"/>
          <w:lang w:val="en-US" w:eastAsia="zh-CN"/>
        </w:rPr>
        <w:t>4</w:t>
      </w:r>
      <w:r>
        <w:rPr>
          <w:rFonts w:hint="eastAsia" w:ascii="宋体" w:hAnsi="宋体" w:eastAsia="宋体" w:cs="Times New Roman"/>
          <w:kern w:val="0"/>
          <w:sz w:val="22"/>
          <w:szCs w:val="22"/>
        </w:rPr>
        <w:t>年</w:t>
      </w:r>
      <w:r>
        <w:rPr>
          <w:rFonts w:hint="eastAsia" w:ascii="宋体" w:hAnsi="宋体" w:eastAsia="宋体" w:cs="Times New Roman"/>
          <w:kern w:val="0"/>
          <w:sz w:val="22"/>
          <w:szCs w:val="22"/>
          <w:lang w:val="en-US" w:eastAsia="zh-CN"/>
        </w:rPr>
        <w:t>5</w:t>
      </w:r>
      <w:r>
        <w:rPr>
          <w:rFonts w:hint="eastAsia" w:ascii="宋体" w:hAnsi="宋体" w:eastAsia="宋体" w:cs="Times New Roman"/>
          <w:kern w:val="0"/>
          <w:sz w:val="22"/>
          <w:szCs w:val="22"/>
        </w:rPr>
        <w:t>月</w:t>
      </w:r>
      <w:r>
        <w:rPr>
          <w:rFonts w:hint="eastAsia" w:ascii="宋体" w:hAnsi="宋体" w:eastAsia="宋体" w:cs="Times New Roman"/>
          <w:kern w:val="0"/>
          <w:sz w:val="22"/>
          <w:szCs w:val="22"/>
          <w:lang w:eastAsia="zh-CN"/>
        </w:rPr>
        <w:t>至</w:t>
      </w:r>
      <w:r>
        <w:rPr>
          <w:rFonts w:hint="eastAsia" w:ascii="宋体" w:hAnsi="宋体" w:eastAsia="宋体" w:cs="Times New Roman"/>
          <w:kern w:val="0"/>
          <w:sz w:val="22"/>
          <w:szCs w:val="22"/>
          <w:lang w:val="en-US" w:eastAsia="zh-CN"/>
        </w:rPr>
        <w:t>12月（每月开展3期，节假日适当增加期数，共计36期，每期时长不少于2小时）</w:t>
      </w:r>
    </w:p>
    <w:p>
      <w:pPr>
        <w:spacing w:line="580" w:lineRule="exact"/>
        <w:rPr>
          <w:rFonts w:hint="eastAsia"/>
          <w:sz w:val="32"/>
          <w:szCs w:val="32"/>
        </w:rPr>
      </w:pPr>
      <w:r>
        <w:rPr>
          <w:rFonts w:hint="eastAsia" w:ascii="宋体" w:hAnsi="宋体" w:eastAsia="宋体" w:cs="Times New Roman"/>
          <w:kern w:val="0"/>
          <w:sz w:val="22"/>
          <w:szCs w:val="22"/>
        </w:rPr>
        <w:t>地点：</w:t>
      </w:r>
      <w:r>
        <w:rPr>
          <w:rFonts w:hint="eastAsia" w:ascii="宋体" w:hAnsi="宋体" w:eastAsia="宋体" w:cs="Times New Roman"/>
          <w:kern w:val="0"/>
          <w:sz w:val="22"/>
          <w:szCs w:val="22"/>
          <w:lang w:eastAsia="zh-CN"/>
        </w:rPr>
        <w:t>东莞市工人文化宫（一宫、二宫）舞蹈室</w:t>
      </w:r>
    </w:p>
    <w:p>
      <w:pPr>
        <w:spacing w:line="580" w:lineRule="exact"/>
        <w:rPr>
          <w:rFonts w:ascii="宋体" w:hAnsi="宋体" w:eastAsia="宋体" w:cs="Times New Roman"/>
          <w:b/>
          <w:kern w:val="0"/>
          <w:sz w:val="22"/>
          <w:szCs w:val="22"/>
        </w:rPr>
      </w:pPr>
      <w:r>
        <w:rPr>
          <w:rFonts w:hint="eastAsia" w:ascii="宋体" w:hAnsi="宋体" w:eastAsia="宋体" w:cs="Times New Roman"/>
          <w:b/>
          <w:kern w:val="0"/>
          <w:sz w:val="22"/>
          <w:szCs w:val="22"/>
          <w:lang w:eastAsia="zh-CN"/>
        </w:rPr>
        <w:t>二、</w:t>
      </w:r>
      <w:r>
        <w:rPr>
          <w:rFonts w:ascii="宋体" w:hAnsi="宋体" w:eastAsia="宋体" w:cs="Times New Roman"/>
          <w:b/>
          <w:kern w:val="0"/>
          <w:sz w:val="22"/>
          <w:szCs w:val="22"/>
        </w:rPr>
        <w:t>活动服务要求</w:t>
      </w:r>
    </w:p>
    <w:p>
      <w:pPr>
        <w:spacing w:line="580" w:lineRule="exact"/>
        <w:rPr>
          <w:rFonts w:ascii="宋体" w:hAnsi="宋体" w:eastAsia="宋体" w:cs="Times New Roman"/>
          <w:kern w:val="0"/>
          <w:sz w:val="22"/>
          <w:szCs w:val="22"/>
        </w:rPr>
      </w:pPr>
      <w:r>
        <w:rPr>
          <w:rFonts w:ascii="宋体" w:hAnsi="宋体" w:eastAsia="宋体" w:cs="Times New Roman"/>
          <w:kern w:val="0"/>
          <w:sz w:val="22"/>
          <w:szCs w:val="22"/>
        </w:rPr>
        <w:t>1</w:t>
      </w:r>
      <w:r>
        <w:rPr>
          <w:rFonts w:hint="eastAsia" w:ascii="宋体" w:hAnsi="宋体" w:eastAsia="宋体" w:cs="Times New Roman"/>
          <w:kern w:val="0"/>
          <w:sz w:val="22"/>
          <w:szCs w:val="22"/>
          <w:lang w:eastAsia="zh-CN"/>
        </w:rPr>
        <w:t>.</w:t>
      </w:r>
      <w:r>
        <w:rPr>
          <w:rFonts w:ascii="宋体" w:hAnsi="宋体" w:eastAsia="宋体" w:cs="Times New Roman"/>
          <w:kern w:val="0"/>
          <w:sz w:val="22"/>
          <w:szCs w:val="22"/>
        </w:rPr>
        <w:t>要求投标人根据活动内容完成</w:t>
      </w:r>
      <w:r>
        <w:rPr>
          <w:rFonts w:hint="eastAsia" w:ascii="宋体" w:hAnsi="宋体" w:eastAsia="宋体" w:cs="Times New Roman"/>
          <w:kern w:val="0"/>
          <w:sz w:val="22"/>
          <w:szCs w:val="22"/>
        </w:rPr>
        <w:t>活动现场的</w:t>
      </w:r>
      <w:r>
        <w:rPr>
          <w:rFonts w:hint="eastAsia" w:ascii="宋体" w:hAnsi="宋体" w:eastAsia="宋体" w:cs="Times New Roman"/>
          <w:kern w:val="0"/>
          <w:sz w:val="22"/>
          <w:szCs w:val="22"/>
          <w:lang w:val="en-US" w:eastAsia="zh-CN"/>
        </w:rPr>
        <w:t>布置</w:t>
      </w:r>
      <w:r>
        <w:rPr>
          <w:rFonts w:hint="eastAsia" w:ascii="宋体" w:hAnsi="宋体" w:eastAsia="宋体" w:cs="Times New Roman"/>
          <w:kern w:val="0"/>
          <w:sz w:val="22"/>
          <w:szCs w:val="22"/>
        </w:rPr>
        <w:t xml:space="preserve">工作。 </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2</w:t>
      </w:r>
      <w:r>
        <w:rPr>
          <w:rFonts w:ascii="宋体" w:hAnsi="宋体" w:eastAsia="宋体" w:cs="Times New Roman"/>
          <w:kern w:val="0"/>
          <w:sz w:val="22"/>
          <w:szCs w:val="22"/>
        </w:rPr>
        <w:t>.</w:t>
      </w:r>
      <w:r>
        <w:rPr>
          <w:rFonts w:hint="eastAsia" w:ascii="宋体" w:hAnsi="宋体" w:eastAsia="宋体" w:cs="Times New Roman"/>
          <w:kern w:val="0"/>
          <w:sz w:val="22"/>
          <w:szCs w:val="22"/>
        </w:rPr>
        <w:t>根据不同内容，坚持按需施教、学用结合的原则，融合“沉浸式+体验式+贯穿式” 的创新模式，调动职工参与积极性，逐步实现职工个人素质的普遍提高和协调发展。向社会招标具有相关资质的文化传媒公司聘请领域专业副高职称及国家级协会会员专家授课</w:t>
      </w:r>
      <w:r>
        <w:rPr>
          <w:rFonts w:hint="eastAsia" w:ascii="宋体" w:hAnsi="宋体" w:eastAsia="宋体" w:cs="Times New Roman"/>
          <w:kern w:val="0"/>
          <w:sz w:val="22"/>
          <w:szCs w:val="22"/>
          <w:lang w:eastAsia="zh-CN"/>
        </w:rPr>
        <w:t>，</w:t>
      </w:r>
      <w:r>
        <w:rPr>
          <w:rFonts w:hint="eastAsia" w:ascii="宋体" w:hAnsi="宋体" w:eastAsia="宋体" w:cs="Times New Roman"/>
          <w:kern w:val="0"/>
          <w:sz w:val="22"/>
          <w:szCs w:val="22"/>
        </w:rPr>
        <w:t>根据活动性质，合理规划设计。</w:t>
      </w:r>
    </w:p>
    <w:p>
      <w:pPr>
        <w:spacing w:line="580" w:lineRule="exact"/>
        <w:rPr>
          <w:rFonts w:ascii="宋体" w:hAnsi="宋体" w:eastAsia="宋体" w:cs="Times New Roman"/>
          <w:kern w:val="0"/>
          <w:sz w:val="22"/>
          <w:szCs w:val="22"/>
        </w:rPr>
      </w:pPr>
      <w:r>
        <w:rPr>
          <w:rFonts w:ascii="宋体" w:hAnsi="宋体" w:eastAsia="宋体" w:cs="Times New Roman"/>
          <w:kern w:val="0"/>
          <w:sz w:val="22"/>
          <w:szCs w:val="22"/>
        </w:rPr>
        <w:t>3</w:t>
      </w:r>
      <w:r>
        <w:rPr>
          <w:rFonts w:hint="eastAsia" w:ascii="宋体" w:hAnsi="宋体" w:eastAsia="宋体" w:cs="Times New Roman"/>
          <w:kern w:val="0"/>
          <w:sz w:val="22"/>
          <w:szCs w:val="22"/>
          <w:lang w:eastAsia="zh-CN"/>
        </w:rPr>
        <w:t>.</w:t>
      </w:r>
      <w:r>
        <w:rPr>
          <w:rFonts w:hint="eastAsia" w:ascii="宋体" w:hAnsi="宋体" w:eastAsia="宋体" w:cs="Times New Roman"/>
          <w:kern w:val="0"/>
          <w:sz w:val="22"/>
          <w:szCs w:val="22"/>
        </w:rPr>
        <w:t>每场</w:t>
      </w:r>
      <w:r>
        <w:rPr>
          <w:rFonts w:hint="eastAsia" w:ascii="宋体" w:hAnsi="宋体" w:eastAsia="宋体" w:cs="Times New Roman"/>
          <w:kern w:val="0"/>
          <w:sz w:val="22"/>
          <w:szCs w:val="22"/>
          <w:lang w:eastAsia="zh-CN"/>
        </w:rPr>
        <w:t>活动</w:t>
      </w:r>
      <w:r>
        <w:rPr>
          <w:rFonts w:hint="eastAsia" w:ascii="宋体" w:hAnsi="宋体" w:eastAsia="宋体" w:cs="Times New Roman"/>
          <w:kern w:val="0"/>
          <w:sz w:val="22"/>
          <w:szCs w:val="22"/>
        </w:rPr>
        <w:t>都</w:t>
      </w:r>
      <w:r>
        <w:rPr>
          <w:rFonts w:hint="eastAsia" w:ascii="宋体" w:hAnsi="宋体" w:cs="Times New Roman"/>
          <w:kern w:val="0"/>
          <w:sz w:val="22"/>
          <w:szCs w:val="22"/>
          <w:lang w:val="en-US" w:eastAsia="zh-CN"/>
        </w:rPr>
        <w:t>需整理</w:t>
      </w:r>
      <w:r>
        <w:rPr>
          <w:rFonts w:hint="eastAsia" w:ascii="宋体" w:hAnsi="宋体" w:eastAsia="宋体" w:cs="Times New Roman"/>
          <w:kern w:val="0"/>
          <w:sz w:val="22"/>
          <w:szCs w:val="22"/>
        </w:rPr>
        <w:t>“精彩</w:t>
      </w:r>
      <w:r>
        <w:rPr>
          <w:rFonts w:hint="eastAsia" w:ascii="宋体" w:hAnsi="宋体" w:cs="Times New Roman"/>
          <w:kern w:val="0"/>
          <w:sz w:val="22"/>
          <w:szCs w:val="22"/>
          <w:lang w:val="en-US" w:eastAsia="zh-CN"/>
        </w:rPr>
        <w:t>回顾</w:t>
      </w:r>
      <w:r>
        <w:rPr>
          <w:rFonts w:hint="eastAsia" w:ascii="宋体" w:hAnsi="宋体" w:eastAsia="宋体" w:cs="Times New Roman"/>
          <w:kern w:val="0"/>
          <w:sz w:val="22"/>
          <w:szCs w:val="22"/>
        </w:rPr>
        <w:t>”内容，陆续在</w:t>
      </w:r>
      <w:r>
        <w:rPr>
          <w:rFonts w:hint="eastAsia" w:ascii="宋体" w:hAnsi="宋体" w:cs="Times New Roman"/>
          <w:kern w:val="0"/>
          <w:sz w:val="22"/>
          <w:szCs w:val="22"/>
          <w:lang w:val="en-US" w:eastAsia="zh-CN"/>
        </w:rPr>
        <w:t>东莞工会</w:t>
      </w:r>
      <w:r>
        <w:rPr>
          <w:rFonts w:hint="eastAsia" w:ascii="宋体" w:hAnsi="宋体" w:eastAsia="宋体" w:cs="Times New Roman"/>
          <w:kern w:val="0"/>
          <w:sz w:val="22"/>
          <w:szCs w:val="22"/>
        </w:rPr>
        <w:t>平台推送</w:t>
      </w:r>
      <w:r>
        <w:rPr>
          <w:rFonts w:hint="eastAsia" w:ascii="宋体" w:hAnsi="宋体" w:eastAsia="宋体" w:cs="Times New Roman"/>
          <w:kern w:val="0"/>
          <w:sz w:val="22"/>
          <w:szCs w:val="22"/>
          <w:lang w:eastAsia="zh-CN"/>
        </w:rPr>
        <w:t>，</w:t>
      </w:r>
      <w:r>
        <w:rPr>
          <w:rFonts w:hint="eastAsia" w:ascii="宋体" w:hAnsi="宋体" w:eastAsia="宋体" w:cs="Times New Roman"/>
          <w:kern w:val="0"/>
          <w:sz w:val="22"/>
          <w:szCs w:val="22"/>
        </w:rPr>
        <w:t>并配备齐全所需的所有</w:t>
      </w:r>
      <w:r>
        <w:rPr>
          <w:rFonts w:hint="eastAsia" w:ascii="宋体" w:hAnsi="宋体" w:eastAsia="宋体" w:cs="Times New Roman"/>
          <w:kern w:val="0"/>
          <w:sz w:val="22"/>
          <w:szCs w:val="22"/>
          <w:lang w:val="en-US" w:eastAsia="zh-CN"/>
        </w:rPr>
        <w:t>活动</w:t>
      </w:r>
      <w:r>
        <w:rPr>
          <w:rFonts w:hint="eastAsia" w:ascii="宋体" w:hAnsi="宋体" w:eastAsia="宋体" w:cs="Times New Roman"/>
          <w:kern w:val="0"/>
          <w:sz w:val="22"/>
          <w:szCs w:val="22"/>
        </w:rPr>
        <w:t>相关设备、物料和人员等。</w:t>
      </w:r>
    </w:p>
    <w:p>
      <w:pPr>
        <w:spacing w:line="580" w:lineRule="exact"/>
        <w:rPr>
          <w:rFonts w:ascii="宋体" w:hAnsi="宋体" w:eastAsia="宋体" w:cs="Times New Roman"/>
          <w:kern w:val="0"/>
          <w:sz w:val="22"/>
          <w:szCs w:val="22"/>
        </w:rPr>
      </w:pPr>
      <w:r>
        <w:rPr>
          <w:rFonts w:ascii="宋体" w:hAnsi="宋体" w:eastAsia="宋体" w:cs="Times New Roman"/>
          <w:kern w:val="0"/>
          <w:sz w:val="22"/>
          <w:szCs w:val="22"/>
        </w:rPr>
        <w:t>4</w:t>
      </w:r>
      <w:r>
        <w:rPr>
          <w:rFonts w:hint="eastAsia" w:ascii="宋体" w:hAnsi="宋体" w:eastAsia="宋体" w:cs="Times New Roman"/>
          <w:kern w:val="0"/>
          <w:sz w:val="22"/>
          <w:szCs w:val="22"/>
          <w:lang w:eastAsia="zh-CN"/>
        </w:rPr>
        <w:t>.</w:t>
      </w:r>
      <w:r>
        <w:rPr>
          <w:rFonts w:ascii="宋体" w:hAnsi="宋体" w:eastAsia="宋体" w:cs="Times New Roman"/>
          <w:kern w:val="0"/>
          <w:sz w:val="22"/>
          <w:szCs w:val="22"/>
        </w:rPr>
        <w:t>投标人须</w:t>
      </w:r>
      <w:r>
        <w:rPr>
          <w:rFonts w:hint="eastAsia" w:ascii="宋体" w:hAnsi="宋体" w:eastAsia="宋体" w:cs="Times New Roman"/>
          <w:kern w:val="0"/>
          <w:sz w:val="22"/>
          <w:szCs w:val="22"/>
        </w:rPr>
        <w:t>收集好</w:t>
      </w:r>
      <w:r>
        <w:rPr>
          <w:rFonts w:hint="eastAsia" w:ascii="宋体" w:hAnsi="宋体" w:eastAsia="宋体" w:cs="Times New Roman"/>
          <w:kern w:val="0"/>
          <w:sz w:val="22"/>
          <w:szCs w:val="22"/>
          <w:lang w:val="en-US" w:eastAsia="zh-CN"/>
        </w:rPr>
        <w:t>每次活动</w:t>
      </w:r>
      <w:r>
        <w:rPr>
          <w:rFonts w:hint="eastAsia" w:ascii="宋体" w:hAnsi="宋体" w:eastAsia="宋体" w:cs="Times New Roman"/>
          <w:kern w:val="0"/>
          <w:sz w:val="22"/>
          <w:szCs w:val="22"/>
        </w:rPr>
        <w:t>的相关报名资料并进行整理，安排好每一次</w:t>
      </w:r>
      <w:r>
        <w:rPr>
          <w:rFonts w:hint="eastAsia" w:ascii="宋体" w:hAnsi="宋体" w:eastAsia="宋体" w:cs="Times New Roman"/>
          <w:kern w:val="0"/>
          <w:sz w:val="22"/>
          <w:szCs w:val="22"/>
          <w:lang w:val="en-US" w:eastAsia="zh-CN"/>
        </w:rPr>
        <w:t>活动</w:t>
      </w:r>
      <w:r>
        <w:rPr>
          <w:rFonts w:hint="eastAsia" w:ascii="宋体" w:hAnsi="宋体" w:eastAsia="宋体" w:cs="Times New Roman"/>
          <w:kern w:val="0"/>
          <w:sz w:val="22"/>
          <w:szCs w:val="22"/>
        </w:rPr>
        <w:t>的具体事项和提供流程表，负责好全部活动现场流程的管控及执行工作等。</w:t>
      </w:r>
    </w:p>
    <w:p>
      <w:pPr>
        <w:spacing w:line="580" w:lineRule="exact"/>
        <w:rPr>
          <w:rFonts w:ascii="宋体" w:hAnsi="宋体" w:eastAsia="宋体" w:cs="Times New Roman"/>
          <w:b/>
          <w:kern w:val="0"/>
          <w:sz w:val="22"/>
          <w:szCs w:val="22"/>
        </w:rPr>
      </w:pPr>
      <w:r>
        <w:rPr>
          <w:rFonts w:hint="eastAsia" w:ascii="宋体" w:hAnsi="宋体" w:eastAsia="宋体" w:cs="Times New Roman"/>
          <w:b/>
          <w:kern w:val="0"/>
          <w:sz w:val="22"/>
          <w:szCs w:val="22"/>
          <w:lang w:val="en-US" w:eastAsia="zh-CN"/>
        </w:rPr>
        <w:t>三</w:t>
      </w:r>
      <w:r>
        <w:rPr>
          <w:rFonts w:hint="eastAsia" w:ascii="宋体" w:hAnsi="宋体" w:eastAsia="宋体" w:cs="Times New Roman"/>
          <w:b/>
          <w:kern w:val="0"/>
          <w:sz w:val="22"/>
          <w:szCs w:val="22"/>
        </w:rPr>
        <w:t>、</w:t>
      </w:r>
      <w:r>
        <w:rPr>
          <w:rFonts w:ascii="宋体" w:hAnsi="宋体" w:eastAsia="宋体" w:cs="Times New Roman"/>
          <w:b/>
          <w:kern w:val="0"/>
          <w:sz w:val="22"/>
          <w:szCs w:val="22"/>
        </w:rPr>
        <w:t>整体实施要求</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1</w:t>
      </w:r>
      <w:r>
        <w:rPr>
          <w:rFonts w:ascii="宋体" w:hAnsi="宋体" w:eastAsia="宋体" w:cs="Times New Roman"/>
          <w:kern w:val="0"/>
          <w:sz w:val="22"/>
          <w:szCs w:val="22"/>
        </w:rPr>
        <w:t>.投标人要熟悉</w:t>
      </w:r>
      <w:r>
        <w:rPr>
          <w:rFonts w:hint="eastAsia" w:ascii="宋体" w:hAnsi="宋体" w:eastAsia="宋体" w:cs="Times New Roman"/>
          <w:kern w:val="0"/>
          <w:sz w:val="22"/>
          <w:szCs w:val="22"/>
        </w:rPr>
        <w:t>每</w:t>
      </w:r>
      <w:r>
        <w:rPr>
          <w:rFonts w:hint="eastAsia" w:ascii="宋体" w:hAnsi="宋体" w:eastAsia="宋体" w:cs="Times New Roman"/>
          <w:kern w:val="0"/>
          <w:sz w:val="22"/>
          <w:szCs w:val="22"/>
          <w:lang w:val="en-US" w:eastAsia="zh-CN"/>
        </w:rPr>
        <w:t>次</w:t>
      </w:r>
      <w:r>
        <w:rPr>
          <w:rFonts w:hint="eastAsia" w:ascii="宋体" w:hAnsi="宋体" w:eastAsia="宋体" w:cs="Times New Roman"/>
          <w:kern w:val="0"/>
          <w:sz w:val="22"/>
          <w:szCs w:val="22"/>
        </w:rPr>
        <w:t>活动的流程和</w:t>
      </w:r>
      <w:r>
        <w:rPr>
          <w:rFonts w:hint="eastAsia" w:ascii="宋体" w:hAnsi="宋体" w:eastAsia="宋体" w:cs="Times New Roman"/>
          <w:kern w:val="0"/>
          <w:sz w:val="22"/>
          <w:szCs w:val="22"/>
          <w:lang w:val="en-US" w:eastAsia="zh-CN"/>
        </w:rPr>
        <w:t>内容</w:t>
      </w:r>
      <w:r>
        <w:rPr>
          <w:rFonts w:hint="eastAsia" w:ascii="宋体" w:hAnsi="宋体" w:eastAsia="宋体" w:cs="Times New Roman"/>
          <w:kern w:val="0"/>
          <w:sz w:val="22"/>
          <w:szCs w:val="22"/>
        </w:rPr>
        <w:t>的详细信息，对接好</w:t>
      </w:r>
      <w:r>
        <w:rPr>
          <w:rFonts w:hint="eastAsia" w:ascii="宋体" w:hAnsi="宋体" w:eastAsia="宋体" w:cs="Times New Roman"/>
          <w:kern w:val="0"/>
          <w:sz w:val="22"/>
          <w:szCs w:val="22"/>
          <w:lang w:val="en-US" w:eastAsia="zh-CN"/>
        </w:rPr>
        <w:t>每次活动的</w:t>
      </w:r>
      <w:r>
        <w:rPr>
          <w:rFonts w:hint="eastAsia" w:ascii="宋体" w:hAnsi="宋体" w:eastAsia="宋体" w:cs="Times New Roman"/>
          <w:kern w:val="0"/>
          <w:sz w:val="22"/>
          <w:szCs w:val="22"/>
        </w:rPr>
        <w:t>现场布置</w:t>
      </w:r>
      <w:r>
        <w:rPr>
          <w:rFonts w:hint="eastAsia" w:ascii="宋体" w:hAnsi="宋体" w:eastAsia="宋体" w:cs="Times New Roman"/>
          <w:kern w:val="0"/>
          <w:sz w:val="22"/>
          <w:szCs w:val="22"/>
          <w:lang w:val="en-US" w:eastAsia="zh-CN"/>
        </w:rPr>
        <w:t>和管控执行</w:t>
      </w:r>
      <w:r>
        <w:rPr>
          <w:rFonts w:hint="eastAsia" w:ascii="宋体" w:hAnsi="宋体" w:eastAsia="宋体" w:cs="Times New Roman"/>
          <w:kern w:val="0"/>
          <w:sz w:val="22"/>
          <w:szCs w:val="22"/>
        </w:rPr>
        <w:t>等工作。</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lang w:val="en-US" w:eastAsia="zh-CN"/>
        </w:rPr>
        <w:t>2</w:t>
      </w:r>
      <w:r>
        <w:rPr>
          <w:rFonts w:ascii="宋体" w:hAnsi="宋体" w:eastAsia="宋体" w:cs="Times New Roman"/>
          <w:kern w:val="0"/>
          <w:sz w:val="22"/>
          <w:szCs w:val="22"/>
        </w:rPr>
        <w:t>.</w:t>
      </w:r>
      <w:r>
        <w:rPr>
          <w:rFonts w:hint="eastAsia" w:ascii="宋体" w:hAnsi="宋体" w:eastAsia="宋体" w:cs="Times New Roman"/>
          <w:kern w:val="0"/>
          <w:sz w:val="22"/>
          <w:szCs w:val="22"/>
        </w:rPr>
        <w:t xml:space="preserve"> 投标人须</w:t>
      </w:r>
      <w:r>
        <w:rPr>
          <w:rFonts w:hint="eastAsia" w:ascii="宋体" w:hAnsi="宋体"/>
          <w:sz w:val="22"/>
          <w:szCs w:val="22"/>
        </w:rPr>
        <w:t>根据活动规模及现场人流量，做好现场防护设备的配备，做好现场防护工作的保障并做好相关记录。</w:t>
      </w:r>
    </w:p>
    <w:p>
      <w:pPr>
        <w:spacing w:line="580" w:lineRule="exact"/>
        <w:rPr>
          <w:rFonts w:ascii="宋体" w:hAnsi="宋体"/>
          <w:b/>
          <w:sz w:val="22"/>
          <w:szCs w:val="22"/>
          <w:u w:val="single"/>
        </w:rPr>
      </w:pPr>
      <w:r>
        <w:rPr>
          <w:rFonts w:hint="eastAsia" w:ascii="宋体" w:hAnsi="宋体"/>
          <w:b/>
          <w:sz w:val="22"/>
          <w:szCs w:val="22"/>
          <w:u w:val="single"/>
          <w:lang w:val="en-US" w:eastAsia="zh-CN"/>
        </w:rPr>
        <w:t>3</w:t>
      </w:r>
      <w:r>
        <w:rPr>
          <w:rFonts w:ascii="宋体" w:hAnsi="宋体"/>
          <w:b/>
          <w:sz w:val="22"/>
          <w:szCs w:val="22"/>
          <w:u w:val="single"/>
        </w:rPr>
        <w:t>.</w:t>
      </w:r>
      <w:r>
        <w:rPr>
          <w:rFonts w:hint="eastAsia" w:ascii="宋体" w:hAnsi="宋体"/>
          <w:b/>
          <w:sz w:val="22"/>
          <w:szCs w:val="22"/>
          <w:u w:val="single"/>
        </w:rPr>
        <w:t xml:space="preserve"> ★中标人在项目实施过程中（包括但不限于活动执行过程中、</w:t>
      </w:r>
      <w:r>
        <w:rPr>
          <w:rFonts w:hint="eastAsia" w:ascii="宋体" w:hAnsi="宋体"/>
          <w:b/>
          <w:sz w:val="22"/>
          <w:szCs w:val="22"/>
          <w:u w:val="single"/>
          <w:lang w:val="en-US" w:eastAsia="zh-CN"/>
        </w:rPr>
        <w:t>活动的</w:t>
      </w:r>
      <w:r>
        <w:rPr>
          <w:rFonts w:hint="eastAsia" w:ascii="宋体" w:hAnsi="宋体"/>
          <w:b/>
          <w:sz w:val="22"/>
          <w:szCs w:val="22"/>
          <w:u w:val="single"/>
        </w:rPr>
        <w:t>布置过程中等）发生意外事故，由中标人承担一切责任。</w:t>
      </w:r>
    </w:p>
    <w:p>
      <w:pPr>
        <w:spacing w:line="580" w:lineRule="exact"/>
        <w:rPr>
          <w:rFonts w:ascii="宋体" w:hAnsi="宋体"/>
          <w:b/>
          <w:sz w:val="22"/>
          <w:szCs w:val="22"/>
          <w:u w:val="single"/>
        </w:rPr>
      </w:pPr>
      <w:r>
        <w:rPr>
          <w:rFonts w:hint="eastAsia" w:ascii="宋体" w:hAnsi="宋体"/>
          <w:b/>
          <w:sz w:val="22"/>
          <w:szCs w:val="22"/>
          <w:u w:val="single"/>
          <w:lang w:val="en-US" w:eastAsia="zh-CN"/>
        </w:rPr>
        <w:t>4</w:t>
      </w:r>
      <w:r>
        <w:rPr>
          <w:rFonts w:ascii="宋体" w:hAnsi="宋体"/>
          <w:b/>
          <w:sz w:val="22"/>
          <w:szCs w:val="22"/>
          <w:u w:val="single"/>
        </w:rPr>
        <w:t>.</w:t>
      </w:r>
      <w:r>
        <w:rPr>
          <w:rFonts w:hint="eastAsia" w:ascii="宋体" w:hAnsi="宋体" w:eastAsia="宋体" w:cs="Times New Roman"/>
          <w:kern w:val="0"/>
          <w:sz w:val="22"/>
          <w:szCs w:val="22"/>
          <w:u w:val="single"/>
        </w:rPr>
        <w:t xml:space="preserve"> </w:t>
      </w:r>
      <w:r>
        <w:rPr>
          <w:rFonts w:hint="eastAsia" w:ascii="宋体" w:hAnsi="宋体"/>
          <w:b/>
          <w:sz w:val="22"/>
          <w:szCs w:val="22"/>
          <w:u w:val="single"/>
        </w:rPr>
        <w:t>★由中标人负责制作的每个活动现场背景及横幅须由采购人审核确认方可实施，采购人有权提出意见，中标人应尊重并及时修改。设计成果著作权归采购人所有。</w:t>
      </w:r>
    </w:p>
    <w:p>
      <w:pPr>
        <w:spacing w:line="580" w:lineRule="exact"/>
        <w:rPr>
          <w:rFonts w:ascii="宋体" w:hAnsi="宋体"/>
          <w:b/>
          <w:sz w:val="22"/>
          <w:szCs w:val="22"/>
          <w:u w:val="single"/>
        </w:rPr>
      </w:pPr>
      <w:r>
        <w:rPr>
          <w:rFonts w:hint="eastAsia" w:ascii="宋体" w:hAnsi="宋体"/>
          <w:b/>
          <w:sz w:val="22"/>
          <w:szCs w:val="22"/>
          <w:u w:val="single"/>
          <w:lang w:val="en-US" w:eastAsia="zh-CN"/>
        </w:rPr>
        <w:t>5</w:t>
      </w:r>
      <w:r>
        <w:rPr>
          <w:rFonts w:ascii="宋体" w:hAnsi="宋体"/>
          <w:b/>
          <w:sz w:val="22"/>
          <w:szCs w:val="22"/>
          <w:u w:val="single"/>
        </w:rPr>
        <w:t>.</w:t>
      </w:r>
      <w:r>
        <w:rPr>
          <w:rFonts w:hint="eastAsia" w:ascii="宋体" w:hAnsi="宋体"/>
          <w:b/>
          <w:sz w:val="22"/>
          <w:szCs w:val="22"/>
          <w:u w:val="single"/>
        </w:rPr>
        <w:t>★因不可控因素需要临时调整每个活动的执行时间，须征得采购人同意后方可调整；</w:t>
      </w:r>
      <w:bookmarkStart w:id="0" w:name="_GoBack"/>
      <w:bookmarkEnd w:id="0"/>
      <w:r>
        <w:rPr>
          <w:rFonts w:hint="eastAsia" w:ascii="宋体" w:hAnsi="宋体"/>
          <w:b/>
          <w:sz w:val="22"/>
          <w:szCs w:val="22"/>
          <w:u w:val="single"/>
        </w:rPr>
        <w:t>如相关活动准备已经就绪，因天气原因导致无法进行，中标人上报采购人征得同意后方可改期，事后中标人须向采购人提供本次活动改期的情况说明。</w:t>
      </w:r>
    </w:p>
    <w:p>
      <w:pPr>
        <w:spacing w:line="580" w:lineRule="exact"/>
        <w:rPr>
          <w:rFonts w:ascii="宋体" w:hAnsi="宋体"/>
          <w:b/>
          <w:sz w:val="22"/>
          <w:szCs w:val="22"/>
          <w:u w:val="single"/>
        </w:rPr>
      </w:pPr>
      <w:r>
        <w:rPr>
          <w:rFonts w:hint="eastAsia" w:ascii="宋体" w:hAnsi="宋体"/>
          <w:b/>
          <w:sz w:val="22"/>
          <w:szCs w:val="22"/>
          <w:u w:val="single"/>
          <w:lang w:val="en-US" w:eastAsia="zh-CN"/>
        </w:rPr>
        <w:t>6</w:t>
      </w:r>
      <w:r>
        <w:rPr>
          <w:rFonts w:ascii="宋体" w:hAnsi="宋体"/>
          <w:b/>
          <w:sz w:val="22"/>
          <w:szCs w:val="22"/>
          <w:u w:val="single"/>
        </w:rPr>
        <w:t>.</w:t>
      </w:r>
      <w:r>
        <w:rPr>
          <w:rFonts w:hint="eastAsia" w:ascii="宋体" w:hAnsi="宋体" w:eastAsia="宋体" w:cs="Times New Roman"/>
          <w:kern w:val="0"/>
          <w:sz w:val="22"/>
          <w:szCs w:val="22"/>
          <w:u w:val="single"/>
        </w:rPr>
        <w:t xml:space="preserve"> </w:t>
      </w:r>
      <w:r>
        <w:rPr>
          <w:rFonts w:hint="eastAsia" w:ascii="宋体" w:hAnsi="宋体"/>
          <w:b/>
          <w:sz w:val="22"/>
          <w:szCs w:val="22"/>
          <w:u w:val="single"/>
        </w:rPr>
        <w:t>★中标人违反招标文件、合同的约定或在项目实施过程中存在处理不当或者遇到投诉情况，经采购人两次或以上书面要求整改，中标人拒不整改或不能按采购人的要求进行整改的，视为严重违约。</w:t>
      </w:r>
    </w:p>
    <w:p>
      <w:pPr>
        <w:spacing w:line="580" w:lineRule="exact"/>
        <w:rPr>
          <w:rFonts w:ascii="宋体" w:hAnsi="宋体" w:eastAsia="宋体" w:cs="Times New Roman"/>
          <w:b/>
          <w:kern w:val="0"/>
          <w:sz w:val="22"/>
          <w:szCs w:val="22"/>
        </w:rPr>
      </w:pPr>
      <w:r>
        <w:rPr>
          <w:rFonts w:hint="eastAsia" w:ascii="宋体" w:hAnsi="宋体" w:eastAsia="宋体" w:cs="Times New Roman"/>
          <w:b/>
          <w:kern w:val="0"/>
          <w:sz w:val="22"/>
          <w:szCs w:val="22"/>
          <w:lang w:eastAsia="zh-CN"/>
        </w:rPr>
        <w:t>四</w:t>
      </w:r>
      <w:r>
        <w:rPr>
          <w:rFonts w:hint="eastAsia" w:ascii="宋体" w:hAnsi="宋体" w:eastAsia="宋体" w:cs="Times New Roman"/>
          <w:b/>
          <w:kern w:val="0"/>
          <w:sz w:val="22"/>
          <w:szCs w:val="22"/>
        </w:rPr>
        <w:t>、其他要求</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1</w:t>
      </w:r>
      <w:r>
        <w:rPr>
          <w:rFonts w:ascii="宋体" w:hAnsi="宋体" w:eastAsia="宋体" w:cs="Times New Roman"/>
          <w:kern w:val="0"/>
          <w:sz w:val="22"/>
          <w:szCs w:val="22"/>
        </w:rPr>
        <w:t>.</w:t>
      </w:r>
      <w:r>
        <w:rPr>
          <w:rFonts w:hint="eastAsia" w:ascii="宋体" w:hAnsi="宋体" w:eastAsia="宋体" w:cs="Times New Roman"/>
          <w:kern w:val="0"/>
          <w:sz w:val="22"/>
          <w:szCs w:val="22"/>
        </w:rPr>
        <w:t xml:space="preserve"> 投标人须有独立团队，能够制定详细的项目推进计划，负责整体宣传工作。</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2</w:t>
      </w:r>
      <w:r>
        <w:rPr>
          <w:rFonts w:ascii="宋体" w:hAnsi="宋体" w:eastAsia="宋体" w:cs="Times New Roman"/>
          <w:kern w:val="0"/>
          <w:sz w:val="22"/>
          <w:szCs w:val="22"/>
        </w:rPr>
        <w:t>.</w:t>
      </w:r>
      <w:r>
        <w:rPr>
          <w:rFonts w:hint="eastAsia" w:ascii="宋体" w:hAnsi="宋体" w:eastAsia="宋体" w:cs="Times New Roman"/>
          <w:kern w:val="0"/>
          <w:sz w:val="22"/>
          <w:szCs w:val="22"/>
        </w:rPr>
        <w:t xml:space="preserve"> 团队有固定的项目负责人和联系人，负责专项方案的策划、制定及组织实施，保证活动的顺利开展。</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lang w:val="en-US" w:eastAsia="zh-CN"/>
        </w:rPr>
        <w:t>3</w:t>
      </w:r>
      <w:r>
        <w:rPr>
          <w:rFonts w:ascii="宋体" w:hAnsi="宋体" w:eastAsia="宋体" w:cs="Times New Roman"/>
          <w:kern w:val="0"/>
          <w:sz w:val="22"/>
          <w:szCs w:val="22"/>
        </w:rPr>
        <w:t>.</w:t>
      </w:r>
      <w:r>
        <w:rPr>
          <w:rFonts w:hint="eastAsia" w:ascii="宋体" w:hAnsi="宋体" w:eastAsia="宋体" w:cs="Times New Roman"/>
          <w:kern w:val="0"/>
          <w:sz w:val="22"/>
          <w:szCs w:val="22"/>
        </w:rPr>
        <w:t>投标人在服务过程中，必须在采购人的指导下，不断完善和细化工作方案以符合活动目标，并且需充分考虑经费预算、场地条件等方面。</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lang w:val="en-US" w:eastAsia="zh-CN"/>
        </w:rPr>
        <w:t>4</w:t>
      </w:r>
      <w:r>
        <w:rPr>
          <w:rFonts w:ascii="宋体" w:hAnsi="宋体" w:eastAsia="宋体" w:cs="Times New Roman"/>
          <w:kern w:val="0"/>
          <w:sz w:val="22"/>
          <w:szCs w:val="22"/>
        </w:rPr>
        <w:t>.投标人须</w:t>
      </w:r>
      <w:r>
        <w:rPr>
          <w:rFonts w:hint="eastAsia" w:ascii="宋体" w:hAnsi="宋体" w:eastAsia="宋体" w:cs="Times New Roman"/>
          <w:kern w:val="0"/>
          <w:sz w:val="22"/>
          <w:szCs w:val="22"/>
        </w:rPr>
        <w:t>承诺不将该活动中的文字和图像用于任何盈利用途，确保整体宣传策划活动符合相关法律规定。</w:t>
      </w:r>
    </w:p>
    <w:p>
      <w:pPr>
        <w:spacing w:line="580" w:lineRule="exact"/>
        <w:rPr>
          <w:rFonts w:ascii="宋体" w:hAnsi="宋体" w:eastAsia="宋体" w:cs="Times New Roman"/>
          <w:b/>
          <w:kern w:val="0"/>
          <w:sz w:val="22"/>
          <w:szCs w:val="22"/>
        </w:rPr>
      </w:pPr>
      <w:r>
        <w:rPr>
          <w:rFonts w:hint="eastAsia" w:ascii="宋体" w:hAnsi="宋体" w:eastAsia="宋体" w:cs="Times New Roman"/>
          <w:b/>
          <w:kern w:val="0"/>
          <w:sz w:val="22"/>
          <w:szCs w:val="22"/>
          <w:lang w:eastAsia="zh-CN"/>
        </w:rPr>
        <w:t>五</w:t>
      </w:r>
      <w:r>
        <w:rPr>
          <w:rFonts w:hint="eastAsia" w:ascii="宋体" w:hAnsi="宋体" w:eastAsia="宋体" w:cs="Times New Roman"/>
          <w:b/>
          <w:kern w:val="0"/>
          <w:sz w:val="22"/>
          <w:szCs w:val="22"/>
        </w:rPr>
        <w:t>、</w:t>
      </w:r>
      <w:r>
        <w:rPr>
          <w:rFonts w:hint="eastAsia"/>
          <w:b/>
          <w:sz w:val="22"/>
          <w:szCs w:val="22"/>
        </w:rPr>
        <w:t>报价要求</w:t>
      </w:r>
    </w:p>
    <w:p>
      <w:pPr>
        <w:spacing w:line="580" w:lineRule="exact"/>
        <w:ind w:firstLine="440" w:firstLineChars="200"/>
        <w:rPr>
          <w:rFonts w:ascii="宋体" w:hAnsi="宋体" w:eastAsia="宋体" w:cs="Times New Roman"/>
          <w:kern w:val="0"/>
          <w:sz w:val="22"/>
          <w:szCs w:val="22"/>
        </w:rPr>
      </w:pPr>
      <w:r>
        <w:rPr>
          <w:rFonts w:hint="eastAsia"/>
          <w:sz w:val="22"/>
          <w:szCs w:val="22"/>
        </w:rPr>
        <w:t>本项目以人民币为结算单位，实行合同总价包干方式，投标人须对采购范围的全部内容进行报价。报价包括人工、技术交通等服务费及所有直接、间接费，有关文件规定的利润、利息、税金等所有费用。</w:t>
      </w:r>
    </w:p>
    <w:p>
      <w:pPr>
        <w:pStyle w:val="10"/>
        <w:tabs>
          <w:tab w:val="left" w:pos="426"/>
          <w:tab w:val="left" w:pos="567"/>
        </w:tabs>
        <w:spacing w:line="580" w:lineRule="exact"/>
        <w:ind w:firstLine="0" w:firstLineChars="0"/>
        <w:rPr>
          <w:b/>
          <w:sz w:val="22"/>
          <w:szCs w:val="22"/>
        </w:rPr>
      </w:pPr>
      <w:r>
        <w:rPr>
          <w:rFonts w:hint="eastAsia"/>
          <w:b/>
          <w:sz w:val="22"/>
          <w:szCs w:val="22"/>
          <w:lang w:eastAsia="zh-CN"/>
        </w:rPr>
        <w:t>六</w:t>
      </w:r>
      <w:r>
        <w:rPr>
          <w:rFonts w:hint="eastAsia"/>
          <w:b/>
          <w:sz w:val="22"/>
          <w:szCs w:val="22"/>
        </w:rPr>
        <w:t>、服务期</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服务期：</w:t>
      </w:r>
      <w:r>
        <w:rPr>
          <w:rFonts w:hint="eastAsia" w:ascii="宋体" w:hAnsi="宋体"/>
          <w:sz w:val="22"/>
          <w:szCs w:val="22"/>
        </w:rPr>
        <w:t>合同签订之日起至服务完成且验收合格。</w:t>
      </w:r>
    </w:p>
    <w:p>
      <w:pPr>
        <w:pStyle w:val="10"/>
        <w:tabs>
          <w:tab w:val="left" w:pos="426"/>
          <w:tab w:val="left" w:pos="567"/>
        </w:tabs>
        <w:spacing w:line="580" w:lineRule="exact"/>
        <w:ind w:firstLine="0" w:firstLineChars="0"/>
        <w:rPr>
          <w:b/>
          <w:sz w:val="22"/>
          <w:szCs w:val="22"/>
        </w:rPr>
      </w:pPr>
      <w:r>
        <w:rPr>
          <w:rFonts w:hint="eastAsia"/>
          <w:b/>
          <w:sz w:val="22"/>
          <w:szCs w:val="22"/>
          <w:lang w:eastAsia="zh-CN"/>
        </w:rPr>
        <w:t>七</w:t>
      </w:r>
      <w:r>
        <w:rPr>
          <w:rFonts w:hint="eastAsia"/>
          <w:b/>
          <w:sz w:val="22"/>
          <w:szCs w:val="22"/>
        </w:rPr>
        <w:t>、付款方式</w:t>
      </w:r>
    </w:p>
    <w:p>
      <w:pPr>
        <w:pStyle w:val="10"/>
        <w:tabs>
          <w:tab w:val="left" w:pos="426"/>
          <w:tab w:val="left" w:pos="567"/>
        </w:tabs>
        <w:spacing w:line="360" w:lineRule="auto"/>
        <w:ind w:firstLine="440"/>
        <w:rPr>
          <w:rFonts w:ascii="宋体" w:hAnsi="宋体"/>
          <w:sz w:val="22"/>
          <w:szCs w:val="22"/>
        </w:rPr>
      </w:pPr>
      <w:r>
        <w:rPr>
          <w:rFonts w:hint="eastAsia" w:ascii="宋体" w:hAnsi="宋体"/>
          <w:sz w:val="22"/>
          <w:szCs w:val="22"/>
        </w:rPr>
        <w:t>合同签订后，</w:t>
      </w:r>
      <w:r>
        <w:rPr>
          <w:rFonts w:hint="eastAsia" w:ascii="宋体" w:hAnsi="宋体"/>
          <w:sz w:val="22"/>
          <w:szCs w:val="22"/>
          <w:lang w:val="en-US" w:eastAsia="zh-CN"/>
        </w:rPr>
        <w:t>采购人以月付款的方式进行支付，</w:t>
      </w:r>
      <w:r>
        <w:rPr>
          <w:rFonts w:hint="eastAsia" w:ascii="宋体" w:hAnsi="宋体"/>
          <w:sz w:val="22"/>
          <w:szCs w:val="22"/>
        </w:rPr>
        <w:t>在完成</w:t>
      </w:r>
      <w:r>
        <w:rPr>
          <w:rFonts w:hint="eastAsia" w:ascii="宋体" w:hAnsi="宋体"/>
          <w:sz w:val="22"/>
          <w:szCs w:val="22"/>
          <w:lang w:val="en-US" w:eastAsia="zh-CN"/>
        </w:rPr>
        <w:t>本月</w:t>
      </w:r>
      <w:r>
        <w:rPr>
          <w:rFonts w:hint="eastAsia" w:ascii="宋体" w:hAnsi="宋体"/>
          <w:sz w:val="22"/>
          <w:szCs w:val="22"/>
        </w:rPr>
        <w:t>所有服务内容并验收合格后，中标人向采购人开具等额有效的发票，采购人向中标人</w:t>
      </w:r>
      <w:r>
        <w:rPr>
          <w:rFonts w:hint="eastAsia" w:ascii="宋体" w:hAnsi="宋体"/>
          <w:sz w:val="22"/>
          <w:szCs w:val="22"/>
          <w:lang w:val="en-US" w:eastAsia="zh-CN"/>
        </w:rPr>
        <w:t>一次性付清所完成场次费用</w:t>
      </w:r>
      <w:r>
        <w:rPr>
          <w:rFonts w:hint="eastAsia" w:ascii="宋体" w:hAnsi="宋体"/>
          <w:sz w:val="22"/>
          <w:szCs w:val="22"/>
        </w:rPr>
        <w:t>。</w:t>
      </w:r>
    </w:p>
    <w:p>
      <w:pPr>
        <w:spacing w:line="580" w:lineRule="exact"/>
        <w:rPr>
          <w:rFonts w:ascii="宋体" w:hAnsi="宋体" w:eastAsia="宋体" w:cs="Times New Roman"/>
          <w:kern w:val="0"/>
          <w:sz w:val="22"/>
          <w:szCs w:val="22"/>
        </w:rPr>
      </w:pPr>
      <w:r>
        <w:rPr>
          <w:rFonts w:hint="eastAsia" w:ascii="宋体" w:hAnsi="宋体"/>
          <w:b/>
          <w:sz w:val="22"/>
          <w:szCs w:val="22"/>
          <w:u w:val="single"/>
        </w:rPr>
        <w:t>注：★如因</w:t>
      </w:r>
      <w:r>
        <w:rPr>
          <w:rFonts w:hint="eastAsia" w:ascii="宋体" w:hAnsi="宋体"/>
          <w:b/>
          <w:sz w:val="22"/>
          <w:szCs w:val="22"/>
          <w:u w:val="single"/>
          <w:lang w:eastAsia="zh-CN"/>
        </w:rPr>
        <w:t>不可抗力</w:t>
      </w:r>
      <w:r>
        <w:rPr>
          <w:rFonts w:hint="eastAsia" w:ascii="宋体" w:hAnsi="宋体"/>
          <w:b/>
          <w:sz w:val="22"/>
          <w:szCs w:val="22"/>
          <w:u w:val="single"/>
        </w:rPr>
        <w:t>原因，导致活动取消，扣除执行活动项目已使用的费用后，其余费用中标人须无条件退还采购人，由此造成的损失由中标人自行承担。</w:t>
      </w:r>
    </w:p>
    <w:p>
      <w:pPr>
        <w:pStyle w:val="10"/>
        <w:tabs>
          <w:tab w:val="left" w:pos="426"/>
          <w:tab w:val="left" w:pos="567"/>
        </w:tabs>
        <w:spacing w:line="580" w:lineRule="exact"/>
        <w:ind w:firstLine="0" w:firstLineChars="0"/>
        <w:rPr>
          <w:b/>
          <w:sz w:val="22"/>
          <w:szCs w:val="22"/>
        </w:rPr>
      </w:pPr>
      <w:r>
        <w:rPr>
          <w:rFonts w:hint="eastAsia"/>
          <w:b/>
          <w:sz w:val="22"/>
          <w:szCs w:val="22"/>
          <w:lang w:eastAsia="zh-CN"/>
        </w:rPr>
        <w:t>八</w:t>
      </w:r>
      <w:r>
        <w:rPr>
          <w:rFonts w:hint="eastAsia"/>
          <w:b/>
          <w:sz w:val="22"/>
          <w:szCs w:val="22"/>
        </w:rPr>
        <w:t>、服务质量考核</w:t>
      </w:r>
    </w:p>
    <w:p>
      <w:pPr>
        <w:pStyle w:val="10"/>
        <w:spacing w:line="580" w:lineRule="exact"/>
        <w:ind w:firstLine="0" w:firstLineChars="0"/>
        <w:rPr>
          <w:rFonts w:hint="eastAsia" w:ascii="宋体" w:hAnsi="宋体"/>
          <w:sz w:val="22"/>
          <w:szCs w:val="22"/>
        </w:rPr>
      </w:pPr>
      <w:r>
        <w:rPr>
          <w:rFonts w:hint="eastAsia" w:ascii="宋体" w:hAnsi="宋体"/>
          <w:sz w:val="22"/>
          <w:szCs w:val="22"/>
        </w:rPr>
        <w:t>1</w:t>
      </w:r>
      <w:r>
        <w:rPr>
          <w:rFonts w:ascii="宋体" w:hAnsi="宋体"/>
          <w:sz w:val="22"/>
          <w:szCs w:val="22"/>
        </w:rPr>
        <w:t>.</w:t>
      </w:r>
      <w:r>
        <w:rPr>
          <w:rFonts w:hint="eastAsia" w:ascii="宋体" w:hAnsi="宋体"/>
          <w:sz w:val="22"/>
          <w:szCs w:val="22"/>
        </w:rPr>
        <w:t>采购人对中标人每个活动项目执行情况进行考核评分（评分细则详见《服务质量考核表》），并根据得分情况支付活动费用。</w:t>
      </w:r>
    </w:p>
    <w:tbl>
      <w:tblPr>
        <w:tblStyle w:val="7"/>
        <w:tblW w:w="514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4"/>
        <w:gridCol w:w="647"/>
        <w:gridCol w:w="3839"/>
        <w:gridCol w:w="419"/>
        <w:gridCol w:w="2190"/>
        <w:gridCol w:w="464"/>
        <w:gridCol w:w="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5000" w:type="pct"/>
            <w:gridSpan w:val="7"/>
            <w:noWrap w:val="0"/>
            <w:vAlign w:val="center"/>
          </w:tcPr>
          <w:p>
            <w:pPr>
              <w:pStyle w:val="10"/>
              <w:keepNext w:val="0"/>
              <w:keepLines w:val="0"/>
              <w:pageBreakBefore w:val="0"/>
              <w:widowControl w:val="0"/>
              <w:wordWrap/>
              <w:overflowPunct/>
              <w:topLinePunct w:val="0"/>
              <w:bidi w:val="0"/>
              <w:spacing w:line="240" w:lineRule="auto"/>
              <w:ind w:firstLine="0" w:firstLineChars="0"/>
              <w:jc w:val="center"/>
              <w:rPr>
                <w:rFonts w:hint="eastAsia" w:ascii="宋体" w:hAnsi="宋体"/>
                <w:b/>
                <w:spacing w:val="-4"/>
                <w:sz w:val="21"/>
                <w:szCs w:val="21"/>
              </w:rPr>
            </w:pPr>
            <w:r>
              <w:rPr>
                <w:rFonts w:hint="eastAsia" w:ascii="宋体" w:hAnsi="宋体"/>
                <w:b/>
                <w:bCs/>
                <w:sz w:val="22"/>
                <w:szCs w:val="22"/>
              </w:rPr>
              <w:t>服务质量考核表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242" w:type="pct"/>
            <w:noWrap w:val="0"/>
            <w:vAlign w:val="center"/>
          </w:tcPr>
          <w:p>
            <w:pPr>
              <w:pStyle w:val="10"/>
              <w:keepNext w:val="0"/>
              <w:keepLines w:val="0"/>
              <w:pageBreakBefore w:val="0"/>
              <w:widowControl w:val="0"/>
              <w:wordWrap/>
              <w:overflowPunct/>
              <w:topLinePunct w:val="0"/>
              <w:bidi w:val="0"/>
              <w:spacing w:line="240" w:lineRule="auto"/>
              <w:ind w:firstLine="0" w:firstLineChars="0"/>
              <w:jc w:val="center"/>
              <w:rPr>
                <w:rFonts w:ascii="宋体" w:hAnsi="宋体"/>
                <w:b/>
                <w:spacing w:val="-4"/>
                <w:sz w:val="21"/>
                <w:szCs w:val="21"/>
              </w:rPr>
            </w:pPr>
            <w:r>
              <w:rPr>
                <w:rFonts w:hint="eastAsia" w:ascii="宋体" w:hAnsi="宋体"/>
                <w:b/>
                <w:spacing w:val="-4"/>
                <w:sz w:val="21"/>
                <w:szCs w:val="21"/>
              </w:rPr>
              <w:t>序号</w:t>
            </w:r>
          </w:p>
        </w:tc>
        <w:tc>
          <w:tcPr>
            <w:tcW w:w="369" w:type="pct"/>
            <w:noWrap w:val="0"/>
            <w:vAlign w:val="center"/>
          </w:tcPr>
          <w:p>
            <w:pPr>
              <w:pStyle w:val="10"/>
              <w:keepNext w:val="0"/>
              <w:keepLines w:val="0"/>
              <w:pageBreakBefore w:val="0"/>
              <w:widowControl w:val="0"/>
              <w:wordWrap/>
              <w:overflowPunct/>
              <w:topLinePunct w:val="0"/>
              <w:bidi w:val="0"/>
              <w:spacing w:line="240" w:lineRule="auto"/>
              <w:ind w:firstLine="0" w:firstLineChars="0"/>
              <w:jc w:val="center"/>
              <w:rPr>
                <w:rFonts w:ascii="宋体" w:hAnsi="宋体"/>
                <w:b/>
                <w:spacing w:val="-4"/>
                <w:sz w:val="21"/>
                <w:szCs w:val="21"/>
              </w:rPr>
            </w:pPr>
            <w:r>
              <w:rPr>
                <w:rFonts w:hint="eastAsia" w:ascii="宋体" w:hAnsi="宋体"/>
                <w:b/>
                <w:spacing w:val="-4"/>
                <w:sz w:val="21"/>
                <w:szCs w:val="21"/>
              </w:rPr>
              <w:t>考核内容</w:t>
            </w:r>
          </w:p>
        </w:tc>
        <w:tc>
          <w:tcPr>
            <w:tcW w:w="2191" w:type="pct"/>
            <w:noWrap w:val="0"/>
            <w:vAlign w:val="center"/>
          </w:tcPr>
          <w:p>
            <w:pPr>
              <w:pStyle w:val="10"/>
              <w:keepNext w:val="0"/>
              <w:keepLines w:val="0"/>
              <w:pageBreakBefore w:val="0"/>
              <w:widowControl w:val="0"/>
              <w:wordWrap/>
              <w:overflowPunct/>
              <w:topLinePunct w:val="0"/>
              <w:bidi w:val="0"/>
              <w:spacing w:line="240" w:lineRule="auto"/>
              <w:ind w:firstLine="0" w:firstLineChars="0"/>
              <w:jc w:val="center"/>
              <w:rPr>
                <w:rFonts w:ascii="宋体" w:hAnsi="宋体"/>
                <w:b/>
                <w:spacing w:val="-4"/>
                <w:sz w:val="21"/>
                <w:szCs w:val="21"/>
              </w:rPr>
            </w:pPr>
            <w:r>
              <w:rPr>
                <w:rFonts w:hint="eastAsia" w:ascii="宋体" w:hAnsi="宋体"/>
                <w:b/>
                <w:spacing w:val="-4"/>
                <w:sz w:val="21"/>
                <w:szCs w:val="21"/>
              </w:rPr>
              <w:t>考核要求</w:t>
            </w:r>
          </w:p>
        </w:tc>
        <w:tc>
          <w:tcPr>
            <w:tcW w:w="239" w:type="pct"/>
            <w:noWrap w:val="0"/>
            <w:vAlign w:val="center"/>
          </w:tcPr>
          <w:p>
            <w:pPr>
              <w:pStyle w:val="10"/>
              <w:keepNext w:val="0"/>
              <w:keepLines w:val="0"/>
              <w:pageBreakBefore w:val="0"/>
              <w:widowControl w:val="0"/>
              <w:wordWrap/>
              <w:overflowPunct/>
              <w:topLinePunct w:val="0"/>
              <w:bidi w:val="0"/>
              <w:spacing w:line="240" w:lineRule="auto"/>
              <w:ind w:firstLine="0" w:firstLineChars="0"/>
              <w:jc w:val="center"/>
              <w:rPr>
                <w:rFonts w:ascii="宋体" w:hAnsi="宋体"/>
                <w:b/>
                <w:spacing w:val="-4"/>
                <w:sz w:val="21"/>
                <w:szCs w:val="21"/>
              </w:rPr>
            </w:pPr>
            <w:r>
              <w:rPr>
                <w:rFonts w:hint="eastAsia" w:ascii="宋体" w:hAnsi="宋体"/>
                <w:b/>
                <w:spacing w:val="-4"/>
                <w:sz w:val="21"/>
                <w:szCs w:val="21"/>
              </w:rPr>
              <w:t>分值</w:t>
            </w:r>
          </w:p>
        </w:tc>
        <w:tc>
          <w:tcPr>
            <w:tcW w:w="1250" w:type="pct"/>
            <w:noWrap w:val="0"/>
            <w:vAlign w:val="center"/>
          </w:tcPr>
          <w:p>
            <w:pPr>
              <w:pStyle w:val="10"/>
              <w:keepNext w:val="0"/>
              <w:keepLines w:val="0"/>
              <w:pageBreakBefore w:val="0"/>
              <w:widowControl w:val="0"/>
              <w:wordWrap/>
              <w:overflowPunct/>
              <w:topLinePunct w:val="0"/>
              <w:bidi w:val="0"/>
              <w:spacing w:line="240" w:lineRule="auto"/>
              <w:ind w:firstLine="0" w:firstLineChars="0"/>
              <w:jc w:val="center"/>
              <w:rPr>
                <w:rFonts w:ascii="宋体" w:hAnsi="宋体"/>
                <w:b/>
                <w:spacing w:val="-4"/>
                <w:sz w:val="21"/>
                <w:szCs w:val="21"/>
              </w:rPr>
            </w:pPr>
            <w:r>
              <w:rPr>
                <w:rFonts w:hint="eastAsia" w:ascii="宋体" w:hAnsi="宋体"/>
                <w:b/>
                <w:spacing w:val="-4"/>
                <w:sz w:val="21"/>
                <w:szCs w:val="21"/>
              </w:rPr>
              <w:t>评分标准</w:t>
            </w:r>
          </w:p>
        </w:tc>
        <w:tc>
          <w:tcPr>
            <w:tcW w:w="265" w:type="pct"/>
            <w:noWrap w:val="0"/>
            <w:vAlign w:val="center"/>
          </w:tcPr>
          <w:p>
            <w:pPr>
              <w:pStyle w:val="10"/>
              <w:keepNext w:val="0"/>
              <w:keepLines w:val="0"/>
              <w:pageBreakBefore w:val="0"/>
              <w:widowControl w:val="0"/>
              <w:wordWrap/>
              <w:overflowPunct/>
              <w:topLinePunct w:val="0"/>
              <w:bidi w:val="0"/>
              <w:spacing w:line="240" w:lineRule="auto"/>
              <w:ind w:firstLine="0" w:firstLineChars="0"/>
              <w:jc w:val="center"/>
              <w:rPr>
                <w:rFonts w:ascii="宋体" w:hAnsi="宋体"/>
                <w:b/>
                <w:spacing w:val="-4"/>
                <w:sz w:val="21"/>
                <w:szCs w:val="21"/>
              </w:rPr>
            </w:pPr>
            <w:r>
              <w:rPr>
                <w:rFonts w:hint="eastAsia" w:ascii="宋体" w:hAnsi="宋体"/>
                <w:b/>
                <w:spacing w:val="-4"/>
                <w:sz w:val="21"/>
                <w:szCs w:val="21"/>
              </w:rPr>
              <w:t>评分</w:t>
            </w:r>
          </w:p>
        </w:tc>
        <w:tc>
          <w:tcPr>
            <w:tcW w:w="441" w:type="pct"/>
            <w:noWrap w:val="0"/>
            <w:vAlign w:val="center"/>
          </w:tcPr>
          <w:p>
            <w:pPr>
              <w:pStyle w:val="10"/>
              <w:keepNext w:val="0"/>
              <w:keepLines w:val="0"/>
              <w:pageBreakBefore w:val="0"/>
              <w:widowControl w:val="0"/>
              <w:wordWrap/>
              <w:overflowPunct/>
              <w:topLinePunct w:val="0"/>
              <w:bidi w:val="0"/>
              <w:spacing w:line="240" w:lineRule="auto"/>
              <w:ind w:firstLine="0" w:firstLineChars="0"/>
              <w:jc w:val="center"/>
              <w:rPr>
                <w:rFonts w:ascii="宋体" w:hAnsi="宋体"/>
                <w:b/>
                <w:spacing w:val="-4"/>
                <w:sz w:val="21"/>
                <w:szCs w:val="21"/>
              </w:rPr>
            </w:pPr>
            <w:r>
              <w:rPr>
                <w:rFonts w:hint="eastAsia" w:ascii="宋体" w:hAnsi="宋体"/>
                <w:b/>
                <w:spacing w:val="-4"/>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atLeast"/>
          <w:jc w:val="center"/>
        </w:trPr>
        <w:tc>
          <w:tcPr>
            <w:tcW w:w="242" w:type="pct"/>
            <w:vMerge w:val="restar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rPr>
              <w:t>1</w:t>
            </w:r>
          </w:p>
        </w:tc>
        <w:tc>
          <w:tcPr>
            <w:tcW w:w="369" w:type="pct"/>
            <w:vMerge w:val="restar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rPr>
              <w:t>每个活动实施情况</w:t>
            </w:r>
          </w:p>
        </w:tc>
        <w:tc>
          <w:tcPr>
            <w:tcW w:w="2191" w:type="pct"/>
            <w:noWrap w:val="0"/>
            <w:vAlign w:val="center"/>
          </w:tcPr>
          <w:p>
            <w:pPr>
              <w:keepNext w:val="0"/>
              <w:keepLines w:val="0"/>
              <w:pageBreakBefore w:val="0"/>
              <w:widowControl w:val="0"/>
              <w:wordWrap/>
              <w:overflowPunct/>
              <w:topLinePunct w:val="0"/>
              <w:bidi w:val="0"/>
              <w:spacing w:line="240" w:lineRule="auto"/>
              <w:rPr>
                <w:rFonts w:ascii="宋体" w:hAnsi="宋体" w:cs="宋体"/>
                <w:b/>
                <w:snapToGrid w:val="0"/>
                <w:kern w:val="0"/>
                <w:sz w:val="21"/>
                <w:szCs w:val="21"/>
              </w:rPr>
            </w:pPr>
            <w:r>
              <w:rPr>
                <w:rFonts w:ascii="宋体" w:hAnsi="宋体" w:cs="宋体"/>
                <w:b/>
                <w:snapToGrid w:val="0"/>
                <w:kern w:val="0"/>
                <w:sz w:val="21"/>
                <w:szCs w:val="21"/>
              </w:rPr>
              <w:t>每个活动实施情况</w:t>
            </w:r>
          </w:p>
          <w:p>
            <w:pPr>
              <w:keepNext w:val="0"/>
              <w:keepLines w:val="0"/>
              <w:pageBreakBefore w:val="0"/>
              <w:widowControl w:val="0"/>
              <w:wordWrap/>
              <w:overflowPunct/>
              <w:topLinePunct w:val="0"/>
              <w:bidi w:val="0"/>
              <w:spacing w:line="240" w:lineRule="auto"/>
              <w:jc w:val="left"/>
              <w:rPr>
                <w:rFonts w:hint="eastAsia" w:ascii="宋体" w:hAnsi="宋体" w:eastAsia="宋体"/>
                <w:spacing w:val="-4"/>
                <w:sz w:val="21"/>
                <w:szCs w:val="21"/>
                <w:lang w:eastAsia="zh-CN"/>
              </w:rPr>
            </w:pPr>
            <w:r>
              <w:rPr>
                <w:rFonts w:hint="eastAsia" w:ascii="宋体" w:hAnsi="宋体" w:cs="宋体"/>
                <w:snapToGrid w:val="0"/>
                <w:kern w:val="0"/>
                <w:sz w:val="21"/>
                <w:szCs w:val="21"/>
              </w:rPr>
              <w:t>具有项目内部管理流程，定期对项目的实施情况及实施质量进行内部监测，</w:t>
            </w:r>
            <w:r>
              <w:rPr>
                <w:rFonts w:hint="eastAsia" w:ascii="宋体" w:hAnsi="宋体"/>
                <w:spacing w:val="-4"/>
                <w:sz w:val="21"/>
                <w:szCs w:val="21"/>
              </w:rPr>
              <w:t>每发现一次/项未完成扣</w:t>
            </w:r>
            <w:r>
              <w:rPr>
                <w:rFonts w:hint="eastAsia" w:ascii="宋体" w:hAnsi="宋体"/>
                <w:spacing w:val="-4"/>
                <w:sz w:val="21"/>
                <w:szCs w:val="21"/>
                <w:lang w:val="en-US" w:eastAsia="zh-CN"/>
              </w:rPr>
              <w:t>3</w:t>
            </w:r>
            <w:r>
              <w:rPr>
                <w:rFonts w:hint="eastAsia" w:ascii="宋体" w:hAnsi="宋体"/>
                <w:spacing w:val="-4"/>
                <w:sz w:val="21"/>
                <w:szCs w:val="21"/>
              </w:rPr>
              <w:t>分</w:t>
            </w:r>
            <w:r>
              <w:rPr>
                <w:rFonts w:hint="eastAsia" w:ascii="宋体" w:hAnsi="宋体"/>
                <w:spacing w:val="-4"/>
                <w:sz w:val="21"/>
                <w:szCs w:val="21"/>
                <w:lang w:eastAsia="zh-CN"/>
              </w:rPr>
              <w:t>。</w:t>
            </w:r>
          </w:p>
        </w:tc>
        <w:tc>
          <w:tcPr>
            <w:tcW w:w="239" w:type="pc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ascii="宋体" w:hAnsi="宋体"/>
                <w:spacing w:val="-4"/>
                <w:sz w:val="21"/>
                <w:szCs w:val="21"/>
              </w:rPr>
              <w:t>10</w:t>
            </w:r>
            <w:r>
              <w:rPr>
                <w:rFonts w:hint="eastAsia" w:ascii="宋体" w:hAnsi="宋体"/>
                <w:spacing w:val="-4"/>
                <w:sz w:val="21"/>
                <w:szCs w:val="21"/>
              </w:rPr>
              <w:t>分</w:t>
            </w:r>
          </w:p>
        </w:tc>
        <w:tc>
          <w:tcPr>
            <w:tcW w:w="1250" w:type="pct"/>
            <w:noWrap w:val="0"/>
            <w:vAlign w:val="center"/>
          </w:tcPr>
          <w:p>
            <w:pPr>
              <w:keepNext w:val="0"/>
              <w:keepLines w:val="0"/>
              <w:pageBreakBefore w:val="0"/>
              <w:widowControl w:val="0"/>
              <w:wordWrap/>
              <w:overflowPunct/>
              <w:topLinePunct w:val="0"/>
              <w:bidi w:val="0"/>
              <w:spacing w:line="240" w:lineRule="auto"/>
              <w:jc w:val="left"/>
              <w:rPr>
                <w:rFonts w:hint="eastAsia" w:ascii="宋体" w:hAnsi="宋体"/>
                <w:spacing w:val="-4"/>
                <w:sz w:val="21"/>
                <w:szCs w:val="21"/>
              </w:rPr>
            </w:pPr>
            <w:r>
              <w:rPr>
                <w:rFonts w:hint="eastAsia" w:ascii="宋体" w:hAnsi="宋体" w:cs="宋体"/>
                <w:snapToGrid w:val="0"/>
                <w:kern w:val="0"/>
                <w:sz w:val="21"/>
                <w:szCs w:val="21"/>
              </w:rPr>
              <w:t>项目内部管理制度、人员</w:t>
            </w:r>
            <w:r>
              <w:rPr>
                <w:rFonts w:ascii="宋体" w:hAnsi="宋体" w:cs="宋体"/>
                <w:snapToGrid w:val="0"/>
                <w:kern w:val="0"/>
                <w:sz w:val="21"/>
                <w:szCs w:val="21"/>
              </w:rPr>
              <w:t>安排</w:t>
            </w:r>
            <w:r>
              <w:rPr>
                <w:rFonts w:hint="eastAsia" w:ascii="宋体" w:hAnsi="宋体" w:cs="宋体"/>
                <w:snapToGrid w:val="0"/>
                <w:kern w:val="0"/>
                <w:sz w:val="21"/>
                <w:szCs w:val="21"/>
              </w:rPr>
              <w:t>、活动具体流程。组织</w:t>
            </w:r>
            <w:r>
              <w:rPr>
                <w:rFonts w:ascii="宋体" w:hAnsi="宋体" w:cs="宋体"/>
                <w:snapToGrid w:val="0"/>
                <w:kern w:val="0"/>
                <w:sz w:val="21"/>
                <w:szCs w:val="21"/>
              </w:rPr>
              <w:t>实施细则是否清晰、有条理</w:t>
            </w:r>
            <w:r>
              <w:rPr>
                <w:rFonts w:hint="eastAsia" w:ascii="宋体" w:hAnsi="宋体" w:cs="宋体"/>
                <w:snapToGrid w:val="0"/>
                <w:kern w:val="0"/>
                <w:sz w:val="21"/>
                <w:szCs w:val="21"/>
              </w:rPr>
              <w:t>。</w:t>
            </w:r>
          </w:p>
        </w:tc>
        <w:tc>
          <w:tcPr>
            <w:tcW w:w="265" w:type="pct"/>
            <w:noWrap w:val="0"/>
            <w:vAlign w:val="center"/>
          </w:tcPr>
          <w:p>
            <w:pPr>
              <w:keepNext w:val="0"/>
              <w:keepLines w:val="0"/>
              <w:pageBreakBefore w:val="0"/>
              <w:widowControl w:val="0"/>
              <w:wordWrap/>
              <w:overflowPunct/>
              <w:topLinePunct w:val="0"/>
              <w:bidi w:val="0"/>
              <w:spacing w:line="240" w:lineRule="auto"/>
              <w:jc w:val="center"/>
              <w:rPr>
                <w:rFonts w:ascii="宋体" w:hAnsi="宋体" w:cs="宋体"/>
                <w:snapToGrid w:val="0"/>
                <w:kern w:val="0"/>
                <w:sz w:val="21"/>
                <w:szCs w:val="21"/>
              </w:rPr>
            </w:pPr>
          </w:p>
        </w:tc>
        <w:tc>
          <w:tcPr>
            <w:tcW w:w="441" w:type="pct"/>
            <w:noWrap w:val="0"/>
            <w:vAlign w:val="center"/>
          </w:tcPr>
          <w:p>
            <w:pPr>
              <w:keepNext w:val="0"/>
              <w:keepLines w:val="0"/>
              <w:pageBreakBefore w:val="0"/>
              <w:widowControl w:val="0"/>
              <w:wordWrap/>
              <w:overflowPunct/>
              <w:topLinePunct w:val="0"/>
              <w:bidi w:val="0"/>
              <w:spacing w:line="240" w:lineRule="auto"/>
              <w:jc w:val="center"/>
              <w:rPr>
                <w:rFonts w:ascii="宋体" w:hAnsi="宋体" w:cs="宋体"/>
                <w:snapToGrid w:val="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3" w:hRule="atLeast"/>
          <w:jc w:val="center"/>
        </w:trPr>
        <w:tc>
          <w:tcPr>
            <w:tcW w:w="242" w:type="pct"/>
            <w:vMerge w:val="continue"/>
            <w:tcBorders>
              <w:bottom w:val="single" w:color="auto" w:sz="4" w:space="0"/>
            </w:tcBorders>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c>
          <w:tcPr>
            <w:tcW w:w="369" w:type="pct"/>
            <w:vMerge w:val="continue"/>
            <w:tcBorders>
              <w:bottom w:val="single" w:color="auto" w:sz="4" w:space="0"/>
            </w:tcBorders>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c>
          <w:tcPr>
            <w:tcW w:w="2191" w:type="pct"/>
            <w:noWrap w:val="0"/>
            <w:vAlign w:val="center"/>
          </w:tcPr>
          <w:p>
            <w:pPr>
              <w:keepNext w:val="0"/>
              <w:keepLines w:val="0"/>
              <w:pageBreakBefore w:val="0"/>
              <w:widowControl w:val="0"/>
              <w:wordWrap/>
              <w:overflowPunct/>
              <w:topLinePunct w:val="0"/>
              <w:bidi w:val="0"/>
              <w:spacing w:line="240" w:lineRule="auto"/>
              <w:jc w:val="left"/>
              <w:rPr>
                <w:rFonts w:ascii="宋体" w:hAnsi="宋体" w:cs="宋体"/>
                <w:b/>
                <w:bCs/>
                <w:snapToGrid w:val="0"/>
                <w:kern w:val="0"/>
                <w:sz w:val="21"/>
                <w:szCs w:val="21"/>
              </w:rPr>
            </w:pPr>
            <w:r>
              <w:rPr>
                <w:rFonts w:hint="eastAsia" w:ascii="宋体" w:hAnsi="宋体" w:cs="宋体"/>
                <w:b/>
                <w:bCs/>
                <w:snapToGrid w:val="0"/>
                <w:kern w:val="0"/>
                <w:sz w:val="21"/>
                <w:szCs w:val="21"/>
              </w:rPr>
              <w:t>活动项目档案管理情况</w:t>
            </w:r>
          </w:p>
          <w:p>
            <w:pPr>
              <w:keepNext w:val="0"/>
              <w:keepLines w:val="0"/>
              <w:pageBreakBefore w:val="0"/>
              <w:widowControl w:val="0"/>
              <w:wordWrap/>
              <w:overflowPunct/>
              <w:topLinePunct w:val="0"/>
              <w:bidi w:val="0"/>
              <w:spacing w:line="240" w:lineRule="auto"/>
              <w:jc w:val="left"/>
              <w:rPr>
                <w:rFonts w:ascii="宋体" w:hAnsi="宋体" w:cs="宋体"/>
                <w:snapToGrid w:val="0"/>
                <w:kern w:val="0"/>
                <w:sz w:val="21"/>
                <w:szCs w:val="21"/>
              </w:rPr>
            </w:pPr>
            <w:r>
              <w:rPr>
                <w:rFonts w:hint="eastAsia" w:ascii="宋体" w:hAnsi="宋体" w:cs="宋体"/>
                <w:snapToGrid w:val="0"/>
                <w:kern w:val="0"/>
                <w:sz w:val="21"/>
                <w:szCs w:val="21"/>
              </w:rPr>
              <w:t>具有成文的档案管理规定，各项要求均能在执行中落实，项目痕迹资料齐全规整、统一存放、分类清晰、记录完整，得</w:t>
            </w:r>
            <w:r>
              <w:rPr>
                <w:rFonts w:ascii="宋体" w:hAnsi="宋体" w:cs="宋体"/>
                <w:snapToGrid w:val="0"/>
                <w:kern w:val="0"/>
                <w:sz w:val="21"/>
                <w:szCs w:val="21"/>
              </w:rPr>
              <w:t>10</w:t>
            </w:r>
            <w:r>
              <w:rPr>
                <w:rFonts w:hint="eastAsia" w:ascii="宋体" w:hAnsi="宋体" w:cs="宋体"/>
                <w:snapToGrid w:val="0"/>
                <w:kern w:val="0"/>
                <w:sz w:val="21"/>
                <w:szCs w:val="21"/>
              </w:rPr>
              <w:t>分；档案资料不全、管理不妥的，</w:t>
            </w:r>
            <w:r>
              <w:rPr>
                <w:rFonts w:hint="eastAsia" w:ascii="宋体" w:hAnsi="宋体" w:cs="宋体"/>
                <w:snapToGrid w:val="0"/>
                <w:kern w:val="0"/>
                <w:sz w:val="21"/>
                <w:szCs w:val="21"/>
                <w:lang w:val="en-US" w:eastAsia="zh-CN"/>
              </w:rPr>
              <w:t>扣5分</w:t>
            </w:r>
            <w:r>
              <w:rPr>
                <w:rFonts w:hint="eastAsia" w:ascii="宋体" w:hAnsi="宋体" w:cs="宋体"/>
                <w:snapToGrid w:val="0"/>
                <w:kern w:val="0"/>
                <w:sz w:val="21"/>
                <w:szCs w:val="21"/>
              </w:rPr>
              <w:t>；没有档案资料的，</w:t>
            </w:r>
            <w:r>
              <w:rPr>
                <w:rFonts w:hint="eastAsia" w:ascii="宋体" w:hAnsi="宋体" w:cs="宋体"/>
                <w:snapToGrid w:val="0"/>
                <w:kern w:val="0"/>
                <w:sz w:val="21"/>
                <w:szCs w:val="21"/>
                <w:lang w:val="en-US" w:eastAsia="zh-CN"/>
              </w:rPr>
              <w:t>扣10分</w:t>
            </w:r>
            <w:r>
              <w:rPr>
                <w:rFonts w:hint="eastAsia" w:ascii="宋体" w:hAnsi="宋体" w:cs="宋体"/>
                <w:snapToGrid w:val="0"/>
                <w:kern w:val="0"/>
                <w:sz w:val="21"/>
                <w:szCs w:val="21"/>
              </w:rPr>
              <w:t>。</w:t>
            </w:r>
          </w:p>
        </w:tc>
        <w:tc>
          <w:tcPr>
            <w:tcW w:w="239" w:type="pc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ascii="宋体" w:hAnsi="宋体"/>
                <w:spacing w:val="-4"/>
                <w:sz w:val="21"/>
                <w:szCs w:val="21"/>
              </w:rPr>
              <w:t>10</w:t>
            </w:r>
            <w:r>
              <w:rPr>
                <w:rFonts w:hint="eastAsia" w:ascii="宋体" w:hAnsi="宋体"/>
                <w:spacing w:val="-4"/>
                <w:sz w:val="21"/>
                <w:szCs w:val="21"/>
              </w:rPr>
              <w:t>分</w:t>
            </w:r>
          </w:p>
        </w:tc>
        <w:tc>
          <w:tcPr>
            <w:tcW w:w="1250" w:type="pct"/>
            <w:noWrap w:val="0"/>
            <w:vAlign w:val="center"/>
          </w:tcPr>
          <w:p>
            <w:pPr>
              <w:keepNext w:val="0"/>
              <w:keepLines w:val="0"/>
              <w:pageBreakBefore w:val="0"/>
              <w:widowControl w:val="0"/>
              <w:wordWrap/>
              <w:overflowPunct/>
              <w:topLinePunct w:val="0"/>
              <w:bidi w:val="0"/>
              <w:spacing w:line="240" w:lineRule="auto"/>
              <w:jc w:val="left"/>
              <w:rPr>
                <w:rFonts w:hint="eastAsia" w:ascii="宋体" w:hAnsi="宋体" w:cs="宋体"/>
                <w:snapToGrid w:val="0"/>
                <w:kern w:val="0"/>
                <w:sz w:val="21"/>
                <w:szCs w:val="21"/>
              </w:rPr>
            </w:pPr>
            <w:r>
              <w:rPr>
                <w:rFonts w:hint="eastAsia" w:ascii="宋体" w:hAnsi="宋体" w:cs="宋体"/>
                <w:snapToGrid w:val="0"/>
                <w:kern w:val="0"/>
                <w:sz w:val="21"/>
                <w:szCs w:val="21"/>
              </w:rPr>
              <w:t>档案资料及服务对象信息表。</w:t>
            </w:r>
            <w:r>
              <w:rPr>
                <w:rFonts w:ascii="宋体" w:hAnsi="宋体" w:cs="宋体"/>
                <w:snapToGrid w:val="0"/>
                <w:kern w:val="0"/>
                <w:sz w:val="21"/>
                <w:szCs w:val="21"/>
              </w:rPr>
              <w:t>包括</w:t>
            </w:r>
            <w:r>
              <w:rPr>
                <w:rFonts w:hint="eastAsia" w:ascii="宋体" w:hAnsi="宋体" w:cs="宋体"/>
                <w:snapToGrid w:val="0"/>
                <w:kern w:val="0"/>
                <w:sz w:val="21"/>
                <w:szCs w:val="21"/>
              </w:rPr>
              <w:t>总项目</w:t>
            </w:r>
            <w:r>
              <w:rPr>
                <w:rFonts w:ascii="宋体" w:hAnsi="宋体" w:cs="宋体"/>
                <w:snapToGrid w:val="0"/>
                <w:kern w:val="0"/>
                <w:sz w:val="21"/>
                <w:szCs w:val="21"/>
              </w:rPr>
              <w:t>、</w:t>
            </w:r>
            <w:r>
              <w:rPr>
                <w:rFonts w:hint="eastAsia" w:ascii="宋体" w:hAnsi="宋体" w:cs="宋体"/>
                <w:snapToGrid w:val="0"/>
                <w:kern w:val="0"/>
                <w:sz w:val="21"/>
                <w:szCs w:val="21"/>
              </w:rPr>
              <w:t>子项目</w:t>
            </w:r>
            <w:r>
              <w:rPr>
                <w:rFonts w:ascii="宋体" w:hAnsi="宋体" w:cs="宋体"/>
                <w:snapToGrid w:val="0"/>
                <w:kern w:val="0"/>
                <w:sz w:val="21"/>
                <w:szCs w:val="21"/>
              </w:rPr>
              <w:t>活动</w:t>
            </w:r>
            <w:r>
              <w:rPr>
                <w:rFonts w:hint="eastAsia" w:ascii="宋体" w:hAnsi="宋体" w:cs="宋体"/>
                <w:snapToGrid w:val="0"/>
                <w:kern w:val="0"/>
                <w:sz w:val="21"/>
                <w:szCs w:val="21"/>
              </w:rPr>
              <w:t>资料</w:t>
            </w:r>
            <w:r>
              <w:rPr>
                <w:rFonts w:ascii="宋体" w:hAnsi="宋体" w:cs="宋体"/>
                <w:snapToGrid w:val="0"/>
                <w:kern w:val="0"/>
                <w:sz w:val="21"/>
                <w:szCs w:val="21"/>
              </w:rPr>
              <w:t>建档</w:t>
            </w:r>
            <w:r>
              <w:rPr>
                <w:rFonts w:hint="eastAsia" w:ascii="宋体" w:hAnsi="宋体" w:cs="宋体"/>
                <w:snapToGrid w:val="0"/>
                <w:kern w:val="0"/>
                <w:sz w:val="21"/>
                <w:szCs w:val="21"/>
              </w:rPr>
              <w:t>。</w:t>
            </w:r>
          </w:p>
        </w:tc>
        <w:tc>
          <w:tcPr>
            <w:tcW w:w="265" w:type="pct"/>
            <w:noWrap w:val="0"/>
            <w:vAlign w:val="center"/>
          </w:tcPr>
          <w:p>
            <w:pPr>
              <w:keepNext w:val="0"/>
              <w:keepLines w:val="0"/>
              <w:pageBreakBefore w:val="0"/>
              <w:widowControl w:val="0"/>
              <w:wordWrap/>
              <w:overflowPunct/>
              <w:topLinePunct w:val="0"/>
              <w:bidi w:val="0"/>
              <w:spacing w:line="240" w:lineRule="auto"/>
              <w:jc w:val="center"/>
              <w:rPr>
                <w:rFonts w:ascii="宋体" w:hAnsi="宋体" w:cs="宋体"/>
                <w:snapToGrid w:val="0"/>
                <w:kern w:val="0"/>
                <w:sz w:val="21"/>
                <w:szCs w:val="21"/>
              </w:rPr>
            </w:pPr>
          </w:p>
        </w:tc>
        <w:tc>
          <w:tcPr>
            <w:tcW w:w="441" w:type="pct"/>
            <w:noWrap w:val="0"/>
            <w:vAlign w:val="center"/>
          </w:tcPr>
          <w:p>
            <w:pPr>
              <w:keepNext w:val="0"/>
              <w:keepLines w:val="0"/>
              <w:pageBreakBefore w:val="0"/>
              <w:widowControl w:val="0"/>
              <w:wordWrap/>
              <w:overflowPunct/>
              <w:topLinePunct w:val="0"/>
              <w:bidi w:val="0"/>
              <w:spacing w:line="240" w:lineRule="auto"/>
              <w:jc w:val="center"/>
              <w:rPr>
                <w:rFonts w:ascii="宋体" w:hAnsi="宋体" w:cs="宋体"/>
                <w:snapToGrid w:val="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6" w:hRule="atLeast"/>
          <w:jc w:val="center"/>
        </w:trPr>
        <w:tc>
          <w:tcPr>
            <w:tcW w:w="242" w:type="pc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rPr>
              <w:t>2</w:t>
            </w:r>
          </w:p>
        </w:tc>
        <w:tc>
          <w:tcPr>
            <w:tcW w:w="369" w:type="pct"/>
            <w:tcBorders>
              <w:top w:val="single" w:color="auto" w:sz="4" w:space="0"/>
            </w:tcBorders>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rPr>
              <w:t>项目团队管理</w:t>
            </w:r>
          </w:p>
        </w:tc>
        <w:tc>
          <w:tcPr>
            <w:tcW w:w="2191" w:type="pct"/>
            <w:noWrap w:val="0"/>
            <w:vAlign w:val="center"/>
          </w:tcPr>
          <w:p>
            <w:pPr>
              <w:keepNext w:val="0"/>
              <w:keepLines w:val="0"/>
              <w:pageBreakBefore w:val="0"/>
              <w:widowControl w:val="0"/>
              <w:tabs>
                <w:tab w:val="left" w:pos="504"/>
              </w:tabs>
              <w:kinsoku w:val="0"/>
              <w:wordWrap/>
              <w:overflowPunct/>
              <w:topLinePunct w:val="0"/>
              <w:autoSpaceDE w:val="0"/>
              <w:autoSpaceDN w:val="0"/>
              <w:bidi w:val="0"/>
              <w:adjustRightInd w:val="0"/>
              <w:snapToGrid w:val="0"/>
              <w:spacing w:line="240" w:lineRule="auto"/>
              <w:jc w:val="left"/>
              <w:textAlignment w:val="baseline"/>
              <w:rPr>
                <w:rFonts w:ascii="宋体" w:hAnsi="宋体" w:cs="宋体"/>
                <w:b/>
                <w:bCs/>
                <w:snapToGrid w:val="0"/>
                <w:kern w:val="0"/>
                <w:sz w:val="21"/>
                <w:szCs w:val="21"/>
              </w:rPr>
            </w:pPr>
            <w:r>
              <w:rPr>
                <w:rFonts w:hint="eastAsia" w:ascii="宋体" w:hAnsi="宋体" w:cs="宋体"/>
                <w:b/>
                <w:bCs/>
                <w:snapToGrid w:val="0"/>
                <w:kern w:val="0"/>
                <w:sz w:val="21"/>
                <w:szCs w:val="21"/>
              </w:rPr>
              <w:t>项目团队资质及专业支持</w:t>
            </w:r>
          </w:p>
          <w:p>
            <w:pPr>
              <w:keepNext w:val="0"/>
              <w:keepLines w:val="0"/>
              <w:pageBreakBefore w:val="0"/>
              <w:widowControl w:val="0"/>
              <w:wordWrap/>
              <w:overflowPunct/>
              <w:topLinePunct w:val="0"/>
              <w:bidi w:val="0"/>
              <w:spacing w:line="240" w:lineRule="auto"/>
              <w:jc w:val="left"/>
              <w:rPr>
                <w:rFonts w:hint="eastAsia" w:ascii="宋体" w:hAnsi="宋体" w:eastAsia="宋体"/>
                <w:spacing w:val="-4"/>
                <w:sz w:val="21"/>
                <w:szCs w:val="21"/>
                <w:lang w:eastAsia="zh-CN"/>
              </w:rPr>
            </w:pPr>
            <w:r>
              <w:rPr>
                <w:rFonts w:hint="eastAsia" w:ascii="宋体" w:hAnsi="宋体" w:cs="宋体"/>
                <w:snapToGrid w:val="0"/>
                <w:kern w:val="0"/>
                <w:sz w:val="21"/>
                <w:szCs w:val="21"/>
              </w:rPr>
              <w:t>项目团队成员的资质及数量要求与方案一致，至少一名团队成员具有与项目服务相关专业经验，得</w:t>
            </w:r>
            <w:r>
              <w:rPr>
                <w:rFonts w:hint="eastAsia" w:ascii="宋体" w:hAnsi="宋体" w:cs="宋体"/>
                <w:snapToGrid w:val="0"/>
                <w:sz w:val="21"/>
                <w:szCs w:val="21"/>
                <w:lang w:val="en-US" w:eastAsia="zh-CN"/>
              </w:rPr>
              <w:t>2</w:t>
            </w:r>
            <w:r>
              <w:rPr>
                <w:rFonts w:ascii="宋体" w:hAnsi="宋体" w:cs="宋体"/>
                <w:snapToGrid w:val="0"/>
                <w:sz w:val="21"/>
                <w:szCs w:val="21"/>
              </w:rPr>
              <w:t>0</w:t>
            </w:r>
            <w:r>
              <w:rPr>
                <w:rFonts w:hint="eastAsia" w:ascii="宋体" w:hAnsi="宋体" w:cs="宋体"/>
                <w:snapToGrid w:val="0"/>
                <w:kern w:val="0"/>
                <w:sz w:val="21"/>
                <w:szCs w:val="21"/>
              </w:rPr>
              <w:t>分。人员资质及质量不符合方案要求，</w:t>
            </w:r>
            <w:r>
              <w:rPr>
                <w:rFonts w:hint="eastAsia" w:ascii="宋体" w:hAnsi="宋体"/>
                <w:spacing w:val="-4"/>
                <w:sz w:val="21"/>
                <w:szCs w:val="21"/>
              </w:rPr>
              <w:t>每发现一次/项未完成扣</w:t>
            </w:r>
            <w:r>
              <w:rPr>
                <w:rFonts w:hint="eastAsia" w:ascii="宋体" w:hAnsi="宋体"/>
                <w:spacing w:val="-4"/>
                <w:sz w:val="21"/>
                <w:szCs w:val="21"/>
                <w:lang w:val="en-US" w:eastAsia="zh-CN"/>
              </w:rPr>
              <w:t>3</w:t>
            </w:r>
            <w:r>
              <w:rPr>
                <w:rFonts w:hint="eastAsia" w:ascii="宋体" w:hAnsi="宋体"/>
                <w:spacing w:val="-4"/>
                <w:sz w:val="21"/>
                <w:szCs w:val="21"/>
              </w:rPr>
              <w:t>分</w:t>
            </w:r>
            <w:r>
              <w:rPr>
                <w:rFonts w:hint="eastAsia" w:ascii="宋体" w:hAnsi="宋体"/>
                <w:spacing w:val="-4"/>
                <w:sz w:val="21"/>
                <w:szCs w:val="21"/>
                <w:lang w:eastAsia="zh-CN"/>
              </w:rPr>
              <w:t>。</w:t>
            </w:r>
          </w:p>
        </w:tc>
        <w:tc>
          <w:tcPr>
            <w:tcW w:w="239" w:type="pc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lang w:val="en-US" w:eastAsia="zh-CN"/>
              </w:rPr>
              <w:t>2</w:t>
            </w:r>
            <w:r>
              <w:rPr>
                <w:rFonts w:ascii="宋体" w:hAnsi="宋体"/>
                <w:spacing w:val="-4"/>
                <w:sz w:val="21"/>
                <w:szCs w:val="21"/>
              </w:rPr>
              <w:t>0</w:t>
            </w:r>
            <w:r>
              <w:rPr>
                <w:rFonts w:hint="eastAsia" w:ascii="宋体" w:hAnsi="宋体"/>
                <w:spacing w:val="-4"/>
                <w:sz w:val="21"/>
                <w:szCs w:val="21"/>
              </w:rPr>
              <w:t>分</w:t>
            </w:r>
          </w:p>
        </w:tc>
        <w:tc>
          <w:tcPr>
            <w:tcW w:w="1250" w:type="pct"/>
            <w:noWrap w:val="0"/>
            <w:vAlign w:val="center"/>
          </w:tcPr>
          <w:p>
            <w:pPr>
              <w:keepNext w:val="0"/>
              <w:keepLines w:val="0"/>
              <w:pageBreakBefore w:val="0"/>
              <w:widowControl w:val="0"/>
              <w:wordWrap/>
              <w:overflowPunct/>
              <w:topLinePunct w:val="0"/>
              <w:bidi w:val="0"/>
              <w:spacing w:line="240" w:lineRule="auto"/>
              <w:jc w:val="left"/>
              <w:rPr>
                <w:rFonts w:ascii="宋体" w:hAnsi="宋体"/>
                <w:spacing w:val="-4"/>
                <w:sz w:val="21"/>
                <w:szCs w:val="21"/>
              </w:rPr>
            </w:pPr>
            <w:r>
              <w:rPr>
                <w:rFonts w:hint="eastAsia" w:ascii="宋体" w:hAnsi="宋体" w:cs="宋体"/>
                <w:snapToGrid w:val="0"/>
                <w:kern w:val="0"/>
                <w:sz w:val="21"/>
                <w:szCs w:val="21"/>
              </w:rPr>
              <w:t>查阅项目管理组织及其</w:t>
            </w:r>
            <w:r>
              <w:rPr>
                <w:rFonts w:ascii="宋体" w:hAnsi="宋体" w:cs="宋体"/>
                <w:snapToGrid w:val="0"/>
                <w:kern w:val="0"/>
                <w:sz w:val="21"/>
                <w:szCs w:val="21"/>
              </w:rPr>
              <w:t>资质</w:t>
            </w:r>
            <w:r>
              <w:rPr>
                <w:rFonts w:hint="eastAsia" w:ascii="宋体" w:hAnsi="宋体" w:cs="宋体"/>
                <w:snapToGrid w:val="0"/>
                <w:kern w:val="0"/>
                <w:sz w:val="21"/>
                <w:szCs w:val="21"/>
              </w:rPr>
              <w:t>认证</w:t>
            </w:r>
            <w:r>
              <w:rPr>
                <w:rFonts w:ascii="宋体" w:hAnsi="宋体" w:cs="宋体"/>
                <w:snapToGrid w:val="0"/>
                <w:kern w:val="0"/>
                <w:sz w:val="21"/>
                <w:szCs w:val="21"/>
              </w:rPr>
              <w:t>、</w:t>
            </w:r>
            <w:r>
              <w:rPr>
                <w:rFonts w:hint="eastAsia" w:ascii="宋体" w:hAnsi="宋体" w:cs="宋体"/>
                <w:snapToGrid w:val="0"/>
                <w:kern w:val="0"/>
                <w:sz w:val="21"/>
                <w:szCs w:val="21"/>
              </w:rPr>
              <w:t>团队成员名单及相关资质材料。</w:t>
            </w:r>
          </w:p>
        </w:tc>
        <w:tc>
          <w:tcPr>
            <w:tcW w:w="265" w:type="pc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c>
          <w:tcPr>
            <w:tcW w:w="441" w:type="pc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6" w:hRule="atLeast"/>
          <w:jc w:val="center"/>
        </w:trPr>
        <w:tc>
          <w:tcPr>
            <w:tcW w:w="242" w:type="pct"/>
            <w:vMerge w:val="restar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rPr>
              <w:t>3</w:t>
            </w:r>
          </w:p>
        </w:tc>
        <w:tc>
          <w:tcPr>
            <w:tcW w:w="369" w:type="pct"/>
            <w:vMerge w:val="restar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cs="宋体"/>
                <w:snapToGrid w:val="0"/>
                <w:kern w:val="0"/>
                <w:sz w:val="21"/>
                <w:szCs w:val="21"/>
              </w:rPr>
              <w:t>活动完成情况</w:t>
            </w:r>
          </w:p>
        </w:tc>
        <w:tc>
          <w:tcPr>
            <w:tcW w:w="2191" w:type="pct"/>
            <w:noWrap w:val="0"/>
            <w:vAlign w:val="center"/>
          </w:tcPr>
          <w:p>
            <w:pPr>
              <w:keepNext w:val="0"/>
              <w:keepLines w:val="0"/>
              <w:pageBreakBefore w:val="0"/>
              <w:widowControl w:val="0"/>
              <w:tabs>
                <w:tab w:val="left" w:pos="504"/>
              </w:tabs>
              <w:kinsoku w:val="0"/>
              <w:wordWrap/>
              <w:overflowPunct/>
              <w:topLinePunct w:val="0"/>
              <w:autoSpaceDE w:val="0"/>
              <w:autoSpaceDN w:val="0"/>
              <w:bidi w:val="0"/>
              <w:adjustRightInd w:val="0"/>
              <w:snapToGrid w:val="0"/>
              <w:spacing w:line="240" w:lineRule="auto"/>
              <w:jc w:val="left"/>
              <w:textAlignment w:val="baseline"/>
              <w:rPr>
                <w:rFonts w:ascii="宋体" w:hAnsi="宋体" w:cs="宋体"/>
                <w:b/>
                <w:bCs/>
                <w:snapToGrid w:val="0"/>
                <w:kern w:val="0"/>
                <w:sz w:val="21"/>
                <w:szCs w:val="21"/>
              </w:rPr>
            </w:pPr>
            <w:r>
              <w:rPr>
                <w:rFonts w:hint="eastAsia" w:ascii="宋体" w:hAnsi="宋体" w:cs="宋体"/>
                <w:b/>
                <w:bCs/>
                <w:snapToGrid w:val="0"/>
                <w:kern w:val="0"/>
                <w:sz w:val="21"/>
                <w:szCs w:val="21"/>
              </w:rPr>
              <w:t>每个活动指标达成</w:t>
            </w:r>
          </w:p>
          <w:p>
            <w:pPr>
              <w:keepNext w:val="0"/>
              <w:keepLines w:val="0"/>
              <w:pageBreakBefore w:val="0"/>
              <w:widowControl w:val="0"/>
              <w:wordWrap/>
              <w:overflowPunct/>
              <w:topLinePunct w:val="0"/>
              <w:bidi w:val="0"/>
              <w:spacing w:line="240" w:lineRule="auto"/>
              <w:jc w:val="left"/>
              <w:rPr>
                <w:rFonts w:ascii="宋体" w:hAnsi="宋体"/>
                <w:spacing w:val="-4"/>
                <w:sz w:val="21"/>
                <w:szCs w:val="21"/>
              </w:rPr>
            </w:pPr>
            <w:r>
              <w:rPr>
                <w:rFonts w:hint="eastAsia" w:ascii="宋体" w:hAnsi="宋体" w:cs="宋体"/>
                <w:snapToGrid w:val="0"/>
                <w:kern w:val="0"/>
                <w:sz w:val="21"/>
                <w:szCs w:val="21"/>
              </w:rPr>
              <w:t>按照活动计划及方案有序推进，活动指标完成量100%或以上的，得</w:t>
            </w:r>
            <w:r>
              <w:rPr>
                <w:rFonts w:hint="eastAsia" w:ascii="宋体" w:hAnsi="宋体" w:cs="宋体"/>
                <w:snapToGrid w:val="0"/>
                <w:kern w:val="0"/>
                <w:sz w:val="21"/>
                <w:szCs w:val="21"/>
                <w:lang w:val="en-US" w:eastAsia="zh-CN"/>
              </w:rPr>
              <w:t>40</w:t>
            </w:r>
            <w:r>
              <w:rPr>
                <w:rFonts w:hint="eastAsia" w:ascii="宋体" w:hAnsi="宋体" w:cs="宋体"/>
                <w:snapToGrid w:val="0"/>
                <w:kern w:val="0"/>
                <w:sz w:val="21"/>
                <w:szCs w:val="21"/>
              </w:rPr>
              <w:t>分；80%至100%之间的，</w:t>
            </w:r>
            <w:r>
              <w:rPr>
                <w:rFonts w:hint="eastAsia" w:ascii="宋体" w:hAnsi="宋体" w:cs="宋体"/>
                <w:snapToGrid w:val="0"/>
                <w:kern w:val="0"/>
                <w:sz w:val="21"/>
                <w:szCs w:val="21"/>
                <w:lang w:val="en-US" w:eastAsia="zh-CN"/>
              </w:rPr>
              <w:t>扣5分</w:t>
            </w:r>
            <w:r>
              <w:rPr>
                <w:rFonts w:hint="eastAsia" w:ascii="宋体" w:hAnsi="宋体" w:cs="宋体"/>
                <w:snapToGrid w:val="0"/>
                <w:kern w:val="0"/>
                <w:sz w:val="21"/>
                <w:szCs w:val="21"/>
              </w:rPr>
              <w:t>；60%至80%之间的，</w:t>
            </w:r>
            <w:r>
              <w:rPr>
                <w:rFonts w:hint="eastAsia" w:ascii="宋体" w:hAnsi="宋体" w:cs="宋体"/>
                <w:snapToGrid w:val="0"/>
                <w:kern w:val="0"/>
                <w:sz w:val="21"/>
                <w:szCs w:val="21"/>
                <w:lang w:val="en-US" w:eastAsia="zh-CN"/>
              </w:rPr>
              <w:t>扣10分</w:t>
            </w:r>
            <w:r>
              <w:rPr>
                <w:rFonts w:hint="eastAsia" w:ascii="宋体" w:hAnsi="宋体" w:cs="宋体"/>
                <w:snapToGrid w:val="0"/>
                <w:kern w:val="0"/>
                <w:sz w:val="21"/>
                <w:szCs w:val="21"/>
              </w:rPr>
              <w:t>；低于60%的，</w:t>
            </w:r>
            <w:r>
              <w:rPr>
                <w:rFonts w:hint="eastAsia" w:ascii="宋体" w:hAnsi="宋体" w:cs="宋体"/>
                <w:snapToGrid w:val="0"/>
                <w:kern w:val="0"/>
                <w:sz w:val="21"/>
                <w:szCs w:val="21"/>
                <w:lang w:val="en-US" w:eastAsia="zh-CN"/>
              </w:rPr>
              <w:t>扣20分</w:t>
            </w:r>
            <w:r>
              <w:rPr>
                <w:rFonts w:hint="eastAsia" w:ascii="宋体" w:hAnsi="宋体" w:cs="宋体"/>
                <w:snapToGrid w:val="0"/>
                <w:kern w:val="0"/>
                <w:sz w:val="21"/>
                <w:szCs w:val="21"/>
              </w:rPr>
              <w:t>。</w:t>
            </w:r>
          </w:p>
        </w:tc>
        <w:tc>
          <w:tcPr>
            <w:tcW w:w="239" w:type="pc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lang w:val="en-US" w:eastAsia="zh-CN"/>
              </w:rPr>
              <w:t>40</w:t>
            </w:r>
            <w:r>
              <w:rPr>
                <w:rFonts w:hint="eastAsia" w:ascii="宋体" w:hAnsi="宋体"/>
                <w:spacing w:val="-4"/>
                <w:sz w:val="21"/>
                <w:szCs w:val="21"/>
              </w:rPr>
              <w:t>分</w:t>
            </w:r>
          </w:p>
        </w:tc>
        <w:tc>
          <w:tcPr>
            <w:tcW w:w="1250" w:type="pct"/>
            <w:noWrap w:val="0"/>
            <w:vAlign w:val="center"/>
          </w:tcPr>
          <w:p>
            <w:pPr>
              <w:keepNext w:val="0"/>
              <w:keepLines w:val="0"/>
              <w:pageBreakBefore w:val="0"/>
              <w:widowControl w:val="0"/>
              <w:wordWrap/>
              <w:overflowPunct/>
              <w:topLinePunct w:val="0"/>
              <w:bidi w:val="0"/>
              <w:spacing w:line="240" w:lineRule="auto"/>
              <w:jc w:val="left"/>
              <w:rPr>
                <w:rFonts w:hint="eastAsia" w:ascii="宋体" w:hAnsi="宋体"/>
                <w:spacing w:val="-4"/>
                <w:sz w:val="21"/>
                <w:szCs w:val="21"/>
              </w:rPr>
            </w:pPr>
            <w:r>
              <w:rPr>
                <w:rFonts w:hint="eastAsia" w:ascii="宋体" w:hAnsi="宋体" w:cs="宋体"/>
                <w:snapToGrid w:val="0"/>
                <w:kern w:val="0"/>
                <w:sz w:val="21"/>
                <w:szCs w:val="21"/>
              </w:rPr>
              <w:t>根据</w:t>
            </w:r>
            <w:r>
              <w:rPr>
                <w:rFonts w:ascii="宋体" w:hAnsi="宋体" w:cs="宋体"/>
                <w:snapToGrid w:val="0"/>
                <w:kern w:val="0"/>
                <w:sz w:val="21"/>
                <w:szCs w:val="21"/>
              </w:rPr>
              <w:t>职工参与度、</w:t>
            </w:r>
            <w:r>
              <w:rPr>
                <w:rFonts w:hint="eastAsia" w:ascii="宋体" w:hAnsi="宋体" w:cs="宋体"/>
                <w:snapToGrid w:val="0"/>
                <w:kern w:val="0"/>
                <w:sz w:val="21"/>
                <w:szCs w:val="21"/>
              </w:rPr>
              <w:t>影响力制定项目实施进度表及量化</w:t>
            </w:r>
            <w:r>
              <w:rPr>
                <w:rFonts w:ascii="宋体" w:hAnsi="宋体" w:cs="宋体"/>
                <w:snapToGrid w:val="0"/>
                <w:kern w:val="0"/>
                <w:sz w:val="21"/>
                <w:szCs w:val="21"/>
              </w:rPr>
              <w:t>指标</w:t>
            </w:r>
            <w:r>
              <w:rPr>
                <w:rFonts w:hint="eastAsia" w:ascii="宋体" w:hAnsi="宋体" w:cs="宋体"/>
                <w:snapToGrid w:val="0"/>
                <w:kern w:val="0"/>
                <w:sz w:val="21"/>
                <w:szCs w:val="21"/>
              </w:rPr>
              <w:t>等相关材料。</w:t>
            </w:r>
          </w:p>
        </w:tc>
        <w:tc>
          <w:tcPr>
            <w:tcW w:w="265" w:type="pc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c>
          <w:tcPr>
            <w:tcW w:w="441" w:type="pc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4" w:hRule="atLeast"/>
          <w:jc w:val="center"/>
        </w:trPr>
        <w:tc>
          <w:tcPr>
            <w:tcW w:w="242" w:type="pct"/>
            <w:vMerge w:val="continue"/>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c>
          <w:tcPr>
            <w:tcW w:w="369" w:type="pct"/>
            <w:vMerge w:val="continue"/>
            <w:noWrap w:val="0"/>
            <w:vAlign w:val="center"/>
          </w:tcPr>
          <w:p>
            <w:pPr>
              <w:keepNext w:val="0"/>
              <w:keepLines w:val="0"/>
              <w:pageBreakBefore w:val="0"/>
              <w:widowControl w:val="0"/>
              <w:wordWrap/>
              <w:overflowPunct/>
              <w:topLinePunct w:val="0"/>
              <w:bidi w:val="0"/>
              <w:spacing w:line="240" w:lineRule="auto"/>
              <w:jc w:val="center"/>
              <w:rPr>
                <w:rFonts w:ascii="宋体" w:hAnsi="宋体" w:cs="宋体"/>
                <w:snapToGrid w:val="0"/>
                <w:kern w:val="0"/>
                <w:sz w:val="21"/>
                <w:szCs w:val="21"/>
              </w:rPr>
            </w:pPr>
          </w:p>
        </w:tc>
        <w:tc>
          <w:tcPr>
            <w:tcW w:w="2191" w:type="pct"/>
            <w:noWrap w:val="0"/>
            <w:vAlign w:val="center"/>
          </w:tcPr>
          <w:p>
            <w:pPr>
              <w:keepNext w:val="0"/>
              <w:keepLines w:val="0"/>
              <w:pageBreakBefore w:val="0"/>
              <w:widowControl w:val="0"/>
              <w:tabs>
                <w:tab w:val="left" w:pos="504"/>
              </w:tabs>
              <w:kinsoku w:val="0"/>
              <w:wordWrap/>
              <w:overflowPunct/>
              <w:topLinePunct w:val="0"/>
              <w:autoSpaceDE w:val="0"/>
              <w:autoSpaceDN w:val="0"/>
              <w:bidi w:val="0"/>
              <w:adjustRightInd w:val="0"/>
              <w:snapToGrid w:val="0"/>
              <w:spacing w:line="240" w:lineRule="auto"/>
              <w:jc w:val="left"/>
              <w:textAlignment w:val="baseline"/>
              <w:rPr>
                <w:rFonts w:ascii="宋体" w:hAnsi="宋体" w:cs="宋体"/>
                <w:b/>
                <w:bCs/>
                <w:snapToGrid w:val="0"/>
                <w:kern w:val="0"/>
                <w:sz w:val="21"/>
                <w:szCs w:val="21"/>
              </w:rPr>
            </w:pPr>
            <w:r>
              <w:rPr>
                <w:rFonts w:hint="eastAsia" w:ascii="宋体" w:hAnsi="宋体" w:cs="宋体"/>
                <w:b/>
                <w:bCs/>
                <w:snapToGrid w:val="0"/>
                <w:kern w:val="0"/>
                <w:sz w:val="21"/>
                <w:szCs w:val="21"/>
              </w:rPr>
              <w:t>每个活动创新性</w:t>
            </w:r>
          </w:p>
          <w:p>
            <w:pPr>
              <w:keepNext w:val="0"/>
              <w:keepLines w:val="0"/>
              <w:pageBreakBefore w:val="0"/>
              <w:widowControl w:val="0"/>
              <w:tabs>
                <w:tab w:val="left" w:pos="504"/>
              </w:tabs>
              <w:kinsoku w:val="0"/>
              <w:wordWrap/>
              <w:overflowPunct/>
              <w:topLinePunct w:val="0"/>
              <w:autoSpaceDE w:val="0"/>
              <w:autoSpaceDN w:val="0"/>
              <w:bidi w:val="0"/>
              <w:adjustRightInd w:val="0"/>
              <w:snapToGrid w:val="0"/>
              <w:spacing w:line="240" w:lineRule="auto"/>
              <w:jc w:val="left"/>
              <w:textAlignment w:val="baseline"/>
              <w:rPr>
                <w:rFonts w:hint="eastAsia" w:ascii="宋体" w:hAnsi="宋体" w:eastAsia="宋体" w:cs="宋体"/>
                <w:b/>
                <w:bCs/>
                <w:snapToGrid w:val="0"/>
                <w:kern w:val="0"/>
                <w:sz w:val="21"/>
                <w:szCs w:val="21"/>
                <w:lang w:eastAsia="zh-CN"/>
              </w:rPr>
            </w:pPr>
            <w:r>
              <w:rPr>
                <w:rFonts w:hint="eastAsia" w:ascii="宋体" w:hAnsi="宋体" w:cs="宋体"/>
                <w:snapToGrid w:val="0"/>
                <w:sz w:val="21"/>
                <w:szCs w:val="21"/>
              </w:rPr>
              <w:t>每个活动实施</w:t>
            </w:r>
            <w:r>
              <w:rPr>
                <w:rFonts w:hint="eastAsia" w:ascii="宋体" w:hAnsi="宋体" w:cs="宋体"/>
                <w:snapToGrid w:val="0"/>
                <w:kern w:val="0"/>
                <w:sz w:val="21"/>
                <w:szCs w:val="21"/>
              </w:rPr>
              <w:t>理念、内容、性质的形式、手段、方法等具有创新性，得</w:t>
            </w:r>
            <w:r>
              <w:rPr>
                <w:rFonts w:hint="eastAsia" w:ascii="宋体" w:hAnsi="宋体" w:cs="宋体"/>
                <w:snapToGrid w:val="0"/>
                <w:kern w:val="0"/>
                <w:sz w:val="21"/>
                <w:szCs w:val="21"/>
                <w:lang w:val="en-US" w:eastAsia="zh-CN"/>
              </w:rPr>
              <w:t>20</w:t>
            </w:r>
            <w:r>
              <w:rPr>
                <w:rFonts w:hint="eastAsia" w:ascii="宋体" w:hAnsi="宋体" w:cs="宋体"/>
                <w:snapToGrid w:val="0"/>
                <w:kern w:val="0"/>
                <w:sz w:val="21"/>
                <w:szCs w:val="21"/>
              </w:rPr>
              <w:t>分；项目形式、内容等单一，缺乏多样性和创新性，</w:t>
            </w:r>
            <w:r>
              <w:rPr>
                <w:rFonts w:hint="eastAsia" w:ascii="宋体" w:hAnsi="宋体"/>
                <w:spacing w:val="-4"/>
                <w:sz w:val="21"/>
                <w:szCs w:val="21"/>
              </w:rPr>
              <w:t>每项</w:t>
            </w:r>
            <w:r>
              <w:rPr>
                <w:rFonts w:hint="eastAsia" w:ascii="宋体" w:hAnsi="宋体"/>
                <w:spacing w:val="-4"/>
                <w:sz w:val="21"/>
                <w:szCs w:val="21"/>
                <w:lang w:val="en-US" w:eastAsia="zh-CN"/>
              </w:rPr>
              <w:t>不达标</w:t>
            </w:r>
            <w:r>
              <w:rPr>
                <w:rFonts w:hint="eastAsia" w:ascii="宋体" w:hAnsi="宋体"/>
                <w:spacing w:val="-4"/>
                <w:sz w:val="21"/>
                <w:szCs w:val="21"/>
              </w:rPr>
              <w:t>扣</w:t>
            </w:r>
            <w:r>
              <w:rPr>
                <w:rFonts w:hint="eastAsia" w:ascii="宋体" w:hAnsi="宋体"/>
                <w:spacing w:val="-4"/>
                <w:sz w:val="21"/>
                <w:szCs w:val="21"/>
                <w:lang w:val="en-US" w:eastAsia="zh-CN"/>
              </w:rPr>
              <w:t>3</w:t>
            </w:r>
            <w:r>
              <w:rPr>
                <w:rFonts w:hint="eastAsia" w:ascii="宋体" w:hAnsi="宋体"/>
                <w:spacing w:val="-4"/>
                <w:sz w:val="21"/>
                <w:szCs w:val="21"/>
              </w:rPr>
              <w:t>分</w:t>
            </w:r>
            <w:r>
              <w:rPr>
                <w:rFonts w:hint="eastAsia" w:ascii="宋体" w:hAnsi="宋体"/>
                <w:spacing w:val="-4"/>
                <w:sz w:val="21"/>
                <w:szCs w:val="21"/>
                <w:lang w:eastAsia="zh-CN"/>
              </w:rPr>
              <w:t>。</w:t>
            </w:r>
          </w:p>
        </w:tc>
        <w:tc>
          <w:tcPr>
            <w:tcW w:w="239" w:type="pc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r>
              <w:rPr>
                <w:rFonts w:hint="eastAsia" w:ascii="宋体" w:hAnsi="宋体"/>
                <w:spacing w:val="-4"/>
                <w:sz w:val="21"/>
                <w:szCs w:val="21"/>
                <w:lang w:val="en-US" w:eastAsia="zh-CN"/>
              </w:rPr>
              <w:t>20</w:t>
            </w:r>
            <w:r>
              <w:rPr>
                <w:rFonts w:hint="eastAsia" w:ascii="宋体" w:hAnsi="宋体"/>
                <w:spacing w:val="-4"/>
                <w:sz w:val="21"/>
                <w:szCs w:val="21"/>
              </w:rPr>
              <w:t>分</w:t>
            </w:r>
          </w:p>
        </w:tc>
        <w:tc>
          <w:tcPr>
            <w:tcW w:w="1250" w:type="pct"/>
            <w:noWrap w:val="0"/>
            <w:vAlign w:val="center"/>
          </w:tcPr>
          <w:p>
            <w:pPr>
              <w:keepNext w:val="0"/>
              <w:keepLines w:val="0"/>
              <w:pageBreakBefore w:val="0"/>
              <w:widowControl w:val="0"/>
              <w:wordWrap/>
              <w:overflowPunct/>
              <w:topLinePunct w:val="0"/>
              <w:bidi w:val="0"/>
              <w:spacing w:line="240" w:lineRule="auto"/>
              <w:jc w:val="left"/>
              <w:rPr>
                <w:rFonts w:ascii="宋体" w:hAnsi="宋体" w:cs="宋体"/>
                <w:snapToGrid w:val="0"/>
                <w:kern w:val="0"/>
                <w:sz w:val="21"/>
                <w:szCs w:val="21"/>
              </w:rPr>
            </w:pPr>
            <w:r>
              <w:rPr>
                <w:rFonts w:hint="eastAsia" w:ascii="宋体" w:hAnsi="宋体" w:cs="宋体"/>
                <w:snapToGrid w:val="0"/>
                <w:kern w:val="0"/>
                <w:sz w:val="21"/>
                <w:szCs w:val="21"/>
              </w:rPr>
              <w:t>项目策划内容、</w:t>
            </w:r>
            <w:r>
              <w:rPr>
                <w:rFonts w:ascii="宋体" w:hAnsi="宋体" w:cs="宋体"/>
                <w:snapToGrid w:val="0"/>
                <w:kern w:val="0"/>
                <w:sz w:val="21"/>
                <w:szCs w:val="21"/>
              </w:rPr>
              <w:t>氛围营造、</w:t>
            </w:r>
            <w:r>
              <w:rPr>
                <w:rFonts w:hint="eastAsia" w:ascii="宋体" w:hAnsi="宋体" w:cs="宋体"/>
                <w:snapToGrid w:val="0"/>
                <w:kern w:val="0"/>
                <w:sz w:val="21"/>
                <w:szCs w:val="21"/>
              </w:rPr>
              <w:t>方法</w:t>
            </w:r>
            <w:r>
              <w:rPr>
                <w:rFonts w:ascii="宋体" w:hAnsi="宋体" w:cs="宋体"/>
                <w:snapToGrid w:val="0"/>
                <w:kern w:val="0"/>
                <w:sz w:val="21"/>
                <w:szCs w:val="21"/>
              </w:rPr>
              <w:t>机制</w:t>
            </w:r>
            <w:r>
              <w:rPr>
                <w:rFonts w:hint="eastAsia" w:ascii="宋体" w:hAnsi="宋体" w:cs="宋体"/>
                <w:snapToGrid w:val="0"/>
                <w:kern w:val="0"/>
                <w:sz w:val="21"/>
                <w:szCs w:val="21"/>
              </w:rPr>
              <w:t>等</w:t>
            </w:r>
            <w:r>
              <w:rPr>
                <w:rFonts w:ascii="宋体" w:hAnsi="宋体" w:cs="宋体"/>
                <w:snapToGrid w:val="0"/>
                <w:kern w:val="0"/>
                <w:sz w:val="21"/>
                <w:szCs w:val="21"/>
              </w:rPr>
              <w:t>相关</w:t>
            </w:r>
            <w:r>
              <w:rPr>
                <w:rFonts w:hint="eastAsia" w:ascii="宋体" w:hAnsi="宋体" w:cs="宋体"/>
                <w:snapToGrid w:val="0"/>
                <w:kern w:val="0"/>
                <w:sz w:val="21"/>
                <w:szCs w:val="21"/>
              </w:rPr>
              <w:t>执行方案，活动亮点</w:t>
            </w:r>
          </w:p>
        </w:tc>
        <w:tc>
          <w:tcPr>
            <w:tcW w:w="265" w:type="pc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c>
          <w:tcPr>
            <w:tcW w:w="441" w:type="pc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611" w:type="pct"/>
            <w:gridSpan w:val="2"/>
            <w:noWrap w:val="0"/>
            <w:vAlign w:val="center"/>
          </w:tcPr>
          <w:p>
            <w:pPr>
              <w:keepNext w:val="0"/>
              <w:keepLines w:val="0"/>
              <w:pageBreakBefore w:val="0"/>
              <w:widowControl w:val="0"/>
              <w:wordWrap/>
              <w:overflowPunct/>
              <w:topLinePunct w:val="0"/>
              <w:bidi w:val="0"/>
              <w:spacing w:line="240" w:lineRule="auto"/>
              <w:jc w:val="center"/>
              <w:rPr>
                <w:rFonts w:hint="eastAsia" w:ascii="宋体" w:hAnsi="宋体" w:eastAsia="宋体" w:cs="宋体"/>
                <w:snapToGrid w:val="0"/>
                <w:kern w:val="0"/>
                <w:sz w:val="21"/>
                <w:szCs w:val="21"/>
                <w:lang w:val="en-US" w:eastAsia="zh-CN"/>
              </w:rPr>
            </w:pPr>
            <w:r>
              <w:rPr>
                <w:rFonts w:hint="eastAsia" w:ascii="宋体" w:hAnsi="宋体" w:cs="宋体"/>
                <w:snapToGrid w:val="0"/>
                <w:kern w:val="0"/>
                <w:sz w:val="21"/>
                <w:szCs w:val="21"/>
                <w:lang w:val="en-US" w:eastAsia="zh-CN"/>
              </w:rPr>
              <w:t>合计</w:t>
            </w:r>
          </w:p>
        </w:tc>
        <w:tc>
          <w:tcPr>
            <w:tcW w:w="2191" w:type="pct"/>
            <w:noWrap w:val="0"/>
            <w:vAlign w:val="center"/>
          </w:tcPr>
          <w:p>
            <w:pPr>
              <w:keepNext w:val="0"/>
              <w:keepLines w:val="0"/>
              <w:pageBreakBefore w:val="0"/>
              <w:widowControl w:val="0"/>
              <w:tabs>
                <w:tab w:val="left" w:pos="504"/>
              </w:tabs>
              <w:kinsoku w:val="0"/>
              <w:wordWrap/>
              <w:overflowPunct/>
              <w:topLinePunct w:val="0"/>
              <w:autoSpaceDE w:val="0"/>
              <w:autoSpaceDN w:val="0"/>
              <w:bidi w:val="0"/>
              <w:adjustRightInd w:val="0"/>
              <w:snapToGrid w:val="0"/>
              <w:spacing w:line="240" w:lineRule="auto"/>
              <w:jc w:val="left"/>
              <w:textAlignment w:val="baseline"/>
              <w:rPr>
                <w:rFonts w:hint="eastAsia" w:ascii="宋体" w:hAnsi="宋体" w:cs="宋体"/>
                <w:snapToGrid w:val="0"/>
                <w:sz w:val="21"/>
                <w:szCs w:val="21"/>
              </w:rPr>
            </w:pPr>
          </w:p>
        </w:tc>
        <w:tc>
          <w:tcPr>
            <w:tcW w:w="239" w:type="pct"/>
            <w:noWrap w:val="0"/>
            <w:vAlign w:val="center"/>
          </w:tcPr>
          <w:p>
            <w:pPr>
              <w:keepNext w:val="0"/>
              <w:keepLines w:val="0"/>
              <w:pageBreakBefore w:val="0"/>
              <w:widowControl w:val="0"/>
              <w:wordWrap/>
              <w:overflowPunct/>
              <w:topLinePunct w:val="0"/>
              <w:bidi w:val="0"/>
              <w:spacing w:line="240" w:lineRule="auto"/>
              <w:jc w:val="center"/>
              <w:rPr>
                <w:rFonts w:hint="eastAsia" w:ascii="宋体" w:hAnsi="宋体"/>
                <w:spacing w:val="-4"/>
                <w:sz w:val="21"/>
                <w:szCs w:val="21"/>
                <w:lang w:val="en-US" w:eastAsia="zh-CN"/>
              </w:rPr>
            </w:pPr>
          </w:p>
        </w:tc>
        <w:tc>
          <w:tcPr>
            <w:tcW w:w="1250" w:type="pct"/>
            <w:noWrap w:val="0"/>
            <w:vAlign w:val="center"/>
          </w:tcPr>
          <w:p>
            <w:pPr>
              <w:keepNext w:val="0"/>
              <w:keepLines w:val="0"/>
              <w:pageBreakBefore w:val="0"/>
              <w:widowControl w:val="0"/>
              <w:wordWrap/>
              <w:overflowPunct/>
              <w:topLinePunct w:val="0"/>
              <w:bidi w:val="0"/>
              <w:spacing w:line="240" w:lineRule="auto"/>
              <w:jc w:val="left"/>
              <w:rPr>
                <w:rFonts w:hint="eastAsia" w:ascii="宋体" w:hAnsi="宋体" w:cs="宋体"/>
                <w:snapToGrid w:val="0"/>
                <w:kern w:val="0"/>
                <w:sz w:val="21"/>
                <w:szCs w:val="21"/>
              </w:rPr>
            </w:pPr>
          </w:p>
        </w:tc>
        <w:tc>
          <w:tcPr>
            <w:tcW w:w="265" w:type="pc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c>
          <w:tcPr>
            <w:tcW w:w="441" w:type="pct"/>
            <w:noWrap w:val="0"/>
            <w:vAlign w:val="center"/>
          </w:tcPr>
          <w:p>
            <w:pPr>
              <w:keepNext w:val="0"/>
              <w:keepLines w:val="0"/>
              <w:pageBreakBefore w:val="0"/>
              <w:widowControl w:val="0"/>
              <w:wordWrap/>
              <w:overflowPunct/>
              <w:topLinePunct w:val="0"/>
              <w:bidi w:val="0"/>
              <w:spacing w:line="240" w:lineRule="auto"/>
              <w:jc w:val="center"/>
              <w:rPr>
                <w:rFonts w:ascii="宋体" w:hAnsi="宋体"/>
                <w:spacing w:val="-4"/>
                <w:sz w:val="21"/>
                <w:szCs w:val="21"/>
              </w:rPr>
            </w:pPr>
          </w:p>
        </w:tc>
      </w:tr>
    </w:tbl>
    <w:p>
      <w:pPr>
        <w:pStyle w:val="10"/>
        <w:spacing w:line="580" w:lineRule="exact"/>
        <w:ind w:firstLine="0" w:firstLineChars="0"/>
        <w:rPr>
          <w:rFonts w:ascii="宋体" w:hAnsi="宋体"/>
          <w:sz w:val="22"/>
          <w:szCs w:val="22"/>
        </w:rPr>
      </w:pPr>
      <w:r>
        <w:rPr>
          <w:rFonts w:hint="eastAsia" w:ascii="宋体" w:hAnsi="宋体"/>
          <w:sz w:val="22"/>
          <w:szCs w:val="22"/>
        </w:rPr>
        <w:t>2</w:t>
      </w:r>
      <w:r>
        <w:rPr>
          <w:rFonts w:ascii="宋体" w:hAnsi="宋体"/>
          <w:sz w:val="22"/>
          <w:szCs w:val="22"/>
        </w:rPr>
        <w:t>.</w:t>
      </w:r>
      <w:r>
        <w:rPr>
          <w:rFonts w:hint="eastAsia" w:ascii="宋体" w:hAnsi="宋体"/>
          <w:sz w:val="22"/>
          <w:szCs w:val="22"/>
        </w:rPr>
        <w:t>服务违约及处置</w:t>
      </w:r>
    </w:p>
    <w:p>
      <w:pPr>
        <w:pStyle w:val="10"/>
        <w:spacing w:line="580" w:lineRule="exact"/>
        <w:ind w:firstLine="0" w:firstLineChars="0"/>
        <w:rPr>
          <w:rFonts w:ascii="宋体" w:hAnsi="宋体"/>
          <w:sz w:val="22"/>
          <w:szCs w:val="22"/>
        </w:rPr>
      </w:pPr>
      <w:r>
        <w:rPr>
          <w:rFonts w:hint="eastAsia" w:ascii="宋体" w:hAnsi="宋体"/>
          <w:sz w:val="22"/>
          <w:szCs w:val="22"/>
        </w:rPr>
        <w:t>（1）项目按照百分制进行打分，考核分值90分或以上为合格，采购人全额支付活动费用；80分至89分的，则扣除活动费用的20%；70分至79分的，则扣除活动费用的30%；低于70分（不含）的为不合格，采购人有权拒绝支付活动费用。</w:t>
      </w:r>
    </w:p>
    <w:p>
      <w:pPr>
        <w:pStyle w:val="10"/>
        <w:spacing w:line="580" w:lineRule="exact"/>
        <w:ind w:firstLine="0" w:firstLineChars="0"/>
        <w:rPr>
          <w:rFonts w:ascii="宋体" w:hAnsi="宋体"/>
          <w:sz w:val="22"/>
          <w:szCs w:val="22"/>
        </w:rPr>
      </w:pPr>
      <w:r>
        <w:rPr>
          <w:rFonts w:hint="eastAsia" w:ascii="宋体" w:hAnsi="宋体"/>
          <w:sz w:val="22"/>
          <w:szCs w:val="22"/>
        </w:rPr>
        <w:t>（2）服务期内，若用户需求中列明有须中标人履行职责的任何一项没有按要求进行服务的，在采购人通知中标人后，其仍未进行处理的，采购人有权拒绝支付活动费用。</w:t>
      </w:r>
    </w:p>
    <w:p>
      <w:pPr>
        <w:pStyle w:val="10"/>
        <w:spacing w:line="580" w:lineRule="exact"/>
        <w:ind w:firstLine="0" w:firstLineChars="0"/>
        <w:rPr>
          <w:rFonts w:hint="eastAsia" w:ascii="宋体" w:hAnsi="宋体" w:cs="宋体"/>
          <w:szCs w:val="21"/>
        </w:rPr>
      </w:pPr>
      <w:r>
        <w:rPr>
          <w:rFonts w:hint="eastAsia" w:ascii="宋体" w:hAnsi="宋体"/>
          <w:sz w:val="22"/>
          <w:szCs w:val="22"/>
        </w:rPr>
        <w:t>（3）</w:t>
      </w:r>
      <w:r>
        <w:rPr>
          <w:rFonts w:hint="eastAsia" w:ascii="宋体" w:hAnsi="宋体" w:cs="宋体"/>
          <w:szCs w:val="21"/>
        </w:rPr>
        <w:t>服务期内，中标人累计有2个以上活动项目考核不合格的，采购人有权单方面终止采购合同。</w:t>
      </w:r>
    </w:p>
    <w:p>
      <w:pPr>
        <w:pStyle w:val="10"/>
        <w:spacing w:line="580" w:lineRule="exact"/>
        <w:ind w:firstLine="0" w:firstLineChars="0"/>
        <w:rPr>
          <w:rFonts w:hint="eastAsia" w:ascii="宋体" w:hAnsi="宋体" w:cs="宋体"/>
          <w:szCs w:val="21"/>
        </w:rPr>
      </w:pPr>
    </w:p>
    <w:p>
      <w:pPr>
        <w:pStyle w:val="10"/>
        <w:spacing w:line="580" w:lineRule="exact"/>
        <w:ind w:firstLine="0" w:firstLineChars="0"/>
        <w:rPr>
          <w:rFonts w:hint="eastAsia" w:ascii="宋体" w:hAnsi="宋体" w:cs="宋体"/>
          <w:szCs w:val="21"/>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A8168"/>
    <w:multiLevelType w:val="singleLevel"/>
    <w:tmpl w:val="0C5A8168"/>
    <w:lvl w:ilvl="0" w:tentative="0">
      <w:start w:val="1"/>
      <w:numFmt w:val="chineseCounting"/>
      <w:pStyle w:val="3"/>
      <w:suff w:val="nothing"/>
      <w:lvlText w:val="（%1）"/>
      <w:lvlJc w:val="left"/>
      <w:pPr>
        <w:ind w:left="0" w:firstLine="420"/>
      </w:pPr>
      <w:rPr>
        <w:rFonts w:hint="eastAsia"/>
      </w:rPr>
    </w:lvl>
  </w:abstractNum>
  <w:abstractNum w:abstractNumId="1">
    <w:nsid w:val="468A1656"/>
    <w:multiLevelType w:val="singleLevel"/>
    <w:tmpl w:val="468A1656"/>
    <w:lvl w:ilvl="0" w:tentative="0">
      <w:start w:val="1"/>
      <w:numFmt w:val="chineseCounting"/>
      <w:pStyle w:val="2"/>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ZDY0NjFkODliZjY4NTFhMjMxMGY3NjFhNzYyNTYifQ=="/>
  </w:docVars>
  <w:rsids>
    <w:rsidRoot w:val="00172A27"/>
    <w:rsid w:val="02FF1990"/>
    <w:rsid w:val="05312E70"/>
    <w:rsid w:val="06C764CB"/>
    <w:rsid w:val="15AD1B7B"/>
    <w:rsid w:val="16A94F14"/>
    <w:rsid w:val="35551771"/>
    <w:rsid w:val="3E942C1B"/>
    <w:rsid w:val="40FC0BBC"/>
    <w:rsid w:val="43C044EA"/>
    <w:rsid w:val="4CDB3BA6"/>
    <w:rsid w:val="4DBA54A6"/>
    <w:rsid w:val="50DD59ED"/>
    <w:rsid w:val="61AB2E91"/>
    <w:rsid w:val="66437A01"/>
    <w:rsid w:val="692931FA"/>
    <w:rsid w:val="7082380F"/>
    <w:rsid w:val="735059F4"/>
    <w:rsid w:val="788C05D2"/>
    <w:rsid w:val="78FFC11E"/>
    <w:rsid w:val="7C121F17"/>
    <w:rsid w:val="FE73D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numPr>
        <w:ilvl w:val="0"/>
        <w:numId w:val="1"/>
      </w:numPr>
      <w:spacing w:beforeLines="0" w:beforeAutospacing="0" w:afterLines="0" w:afterAutospacing="0" w:line="480" w:lineRule="auto"/>
      <w:ind w:firstLine="0"/>
      <w:outlineLvl w:val="0"/>
    </w:pPr>
    <w:rPr>
      <w:rFonts w:ascii="Calibri" w:hAnsi="Calibri" w:eastAsia="宋体" w:cs="Times New Roman"/>
      <w:b/>
      <w:kern w:val="44"/>
      <w:sz w:val="32"/>
    </w:rPr>
  </w:style>
  <w:style w:type="paragraph" w:styleId="3">
    <w:name w:val="heading 2"/>
    <w:basedOn w:val="1"/>
    <w:next w:val="1"/>
    <w:autoRedefine/>
    <w:semiHidden/>
    <w:unhideWhenUsed/>
    <w:qFormat/>
    <w:uiPriority w:val="0"/>
    <w:pPr>
      <w:keepNext/>
      <w:keepLines/>
      <w:numPr>
        <w:ilvl w:val="0"/>
        <w:numId w:val="2"/>
      </w:numPr>
      <w:spacing w:beforeLines="0" w:beforeAutospacing="0" w:afterLines="0" w:afterAutospacing="0" w:line="360" w:lineRule="auto"/>
      <w:ind w:firstLine="0" w:firstLineChars="0"/>
      <w:outlineLvl w:val="1"/>
    </w:pPr>
    <w:rPr>
      <w:rFonts w:ascii="Arial" w:hAnsi="Arial" w:eastAsia="宋体" w:cs="Times New Roman"/>
      <w:b/>
      <w:sz w:val="30"/>
    </w:rPr>
  </w:style>
  <w:style w:type="paragraph" w:styleId="4">
    <w:name w:val="heading 3"/>
    <w:basedOn w:val="1"/>
    <w:next w:val="1"/>
    <w:autoRedefine/>
    <w:semiHidden/>
    <w:unhideWhenUsed/>
    <w:qFormat/>
    <w:uiPriority w:val="0"/>
    <w:pPr>
      <w:keepNext/>
      <w:keepLines/>
      <w:spacing w:beforeLines="0" w:beforeAutospacing="0" w:afterLines="0" w:afterAutospacing="0" w:line="240" w:lineRule="auto"/>
      <w:ind w:firstLine="723" w:firstLineChars="200"/>
      <w:outlineLvl w:val="2"/>
    </w:pPr>
    <w:rPr>
      <w:rFonts w:ascii="Calibri" w:hAnsi="Calibri" w:eastAsia="宋体" w:cs="Times New Roman"/>
      <w:b/>
      <w:sz w:val="28"/>
    </w:rPr>
  </w:style>
  <w:style w:type="paragraph" w:styleId="5">
    <w:name w:val="heading 4"/>
    <w:basedOn w:val="1"/>
    <w:next w:val="1"/>
    <w:autoRedefine/>
    <w:semiHidden/>
    <w:unhideWhenUsed/>
    <w:qFormat/>
    <w:uiPriority w:val="0"/>
    <w:pPr>
      <w:keepNext/>
      <w:keepLines/>
      <w:spacing w:before="50" w:beforeLines="50" w:beforeAutospacing="0" w:after="50" w:afterLines="50" w:afterAutospacing="0" w:line="360" w:lineRule="auto"/>
      <w:ind w:firstLine="723" w:firstLineChars="200"/>
      <w:outlineLvl w:val="3"/>
    </w:pPr>
    <w:rPr>
      <w:rFonts w:ascii="Arial" w:hAnsi="Arial" w:eastAsia="宋体" w:cs="Times New Roman"/>
      <w:sz w:val="2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footer"/>
    <w:basedOn w:val="1"/>
    <w:qFormat/>
    <w:uiPriority w:val="99"/>
    <w:pPr>
      <w:tabs>
        <w:tab w:val="center" w:pos="4153"/>
        <w:tab w:val="right" w:pos="8306"/>
      </w:tabs>
      <w:snapToGrid w:val="0"/>
      <w:jc w:val="left"/>
    </w:pPr>
    <w:rPr>
      <w:sz w:val="18"/>
      <w:szCs w:val="18"/>
    </w:rPr>
  </w:style>
  <w:style w:type="paragraph" w:customStyle="1" w:styleId="9">
    <w:name w:val="方案模板"/>
    <w:basedOn w:val="1"/>
    <w:autoRedefine/>
    <w:qFormat/>
    <w:uiPriority w:val="0"/>
    <w:rPr>
      <w:rFonts w:ascii="Calibri" w:hAnsi="Calibri" w:eastAsia="仿宋_GB2312" w:cs="Times New Roman"/>
      <w:sz w:val="24"/>
    </w:rPr>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5</Pages>
  <Words>518</Words>
  <Characters>540</Characters>
  <Lines>0</Lines>
  <Paragraphs>0</Paragraphs>
  <TotalTime>11</TotalTime>
  <ScaleCrop>false</ScaleCrop>
  <LinksUpToDate>false</LinksUpToDate>
  <CharactersWithSpaces>607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笨小孩</dc:creator>
  <cp:lastModifiedBy>蓝天</cp:lastModifiedBy>
  <cp:lastPrinted>2024-04-08T18:03:00Z</cp:lastPrinted>
  <dcterms:modified xsi:type="dcterms:W3CDTF">2024-04-17T09:54:45Z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5650A7AAA8E2410F9BF00A36B34D623D_13</vt:lpwstr>
  </property>
</Properties>
</file>